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Calibri" w:cs="Calibri" w:eastAsia="Calibri" w:hAnsi="Calibri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95.0" w:type="dxa"/>
        <w:jc w:val="left"/>
        <w:tblInd w:w="-9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5"/>
        <w:gridCol w:w="11490"/>
        <w:tblGridChange w:id="0">
          <w:tblGrid>
            <w:gridCol w:w="3405"/>
            <w:gridCol w:w="11490"/>
          </w:tblGrid>
        </w:tblGridChange>
      </w:tblGrid>
      <w:tr>
        <w:trPr>
          <w:cantSplit w:val="0"/>
          <w:trHeight w:val="60" w:hRule="atLeast"/>
          <w:tblHeader w:val="0"/>
        </w:trPr>
        <w:tc>
          <w:tcPr>
            <w:gridSpan w:val="2"/>
            <w:shd w:fill="003366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120" w:before="120" w:line="28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What did mass production cost the US?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60" w:before="60" w:line="240" w:lineRule="auto"/>
              <w:rPr>
                <w:rFonts w:ascii="Calibri" w:cs="Calibri" w:eastAsia="Calibri" w:hAnsi="Calibri"/>
                <w:b w:val="1"/>
                <w:bCs w:val="1"/>
                <w:color w:val="1f497d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97d"/>
                <w:rtl w:val="0"/>
              </w:rPr>
              <w:t xml:space="preserve">C3 Framework Standard</w:t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D2.Civ.14.9-12. Analyze historical, contemporary, and emerging means of changing societies, promoting the common good, and protecting rights.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after="60" w:before="60" w:line="240" w:lineRule="auto"/>
              <w:rPr>
                <w:rFonts w:ascii="Calibri" w:cs="Calibri" w:eastAsia="Calibri" w:hAnsi="Calibri"/>
                <w:b w:val="1"/>
                <w:bCs w:val="1"/>
                <w:color w:val="1f497d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97d"/>
                <w:rtl w:val="0"/>
              </w:rPr>
              <w:t xml:space="preserve">C3 Teachers Topic, Concept &amp; Skill</w:t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bf9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highlight w:val="white"/>
                <w:rtl w:val="0"/>
              </w:rPr>
              <w:t xml:space="preserve">★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155cc"/>
                <w:highlight w:val="white"/>
                <w:rtl w:val="0"/>
              </w:rPr>
              <w:t xml:space="preserve">Era 5: Development</w:t>
            </w:r>
            <w:r w:rsidDel="00000000" w:rsidR="00000000" w:rsidRPr="00000000">
              <w:rPr>
                <w:rFonts w:ascii="Calibri" w:cs="Calibri" w:eastAsia="Calibri" w:hAnsi="Calibri"/>
                <w:color w:val="16714a"/>
                <w:highlight w:val="white"/>
                <w:rtl w:val="0"/>
              </w:rPr>
              <w:t xml:space="preserve">    ★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6714a"/>
                <w:highlight w:val="white"/>
                <w:rtl w:val="0"/>
              </w:rPr>
              <w:t xml:space="preserve">Civic Engagement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bf9000"/>
                <w:highlight w:val="white"/>
                <w:rtl w:val="0"/>
              </w:rPr>
              <w:t xml:space="preserve">★ Taking Informed Action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40" w:lineRule="auto"/>
        <w:ind w:left="-810" w:firstLine="0"/>
        <w:rPr>
          <w:rFonts w:ascii="Calibri" w:cs="Calibri" w:eastAsia="Calibri" w:hAnsi="Calibri"/>
          <w:color w:val="f1c232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-810" w:right="-900" w:firstLine="0"/>
        <w:rPr>
          <w:rFonts w:ascii="Calibri" w:cs="Calibri" w:eastAsia="Calibri" w:hAnsi="Calibri"/>
          <w:i w:val="1"/>
          <w:i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Rapid industrialization in the early 20th century dramatically changed the nature of work in the United States. In 1911, t</w:t>
      </w:r>
      <w:r w:rsidDel="00000000" w:rsidR="00000000" w:rsidRPr="00000000">
        <w:rPr>
          <w:rFonts w:ascii="Calibri" w:cs="Calibri" w:eastAsia="Calibri" w:hAnsi="Calibri"/>
          <w:i w:val="1"/>
          <w:iCs w:val="1"/>
          <w:highlight w:val="white"/>
          <w:rtl w:val="0"/>
        </w:rPr>
        <w:t xml:space="preserve">he Triangle Shirtwaist Factory fire revealed just how unsafe working conditions were.  146 garment workers, most of whom were young immigrant women, died when a fire broke out in a factory with locked exit doors and inadequate fire safety measures. Public outrage over the disaster led to major workplace safety reforms and stronger labor laws in the United States. 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-810" w:firstLine="0"/>
        <w:rPr>
          <w:rFonts w:ascii="Calibri" w:cs="Calibri" w:eastAsia="Calibri" w:hAnsi="Calibri"/>
          <w:i w:val="1"/>
          <w:iCs w:val="1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925.0" w:type="dxa"/>
        <w:jc w:val="left"/>
        <w:tblInd w:w="-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925"/>
        <w:tblGridChange w:id="0">
          <w:tblGrid>
            <w:gridCol w:w="14925"/>
          </w:tblGrid>
        </w:tblGridChange>
      </w:tblGrid>
      <w:tr>
        <w:trPr>
          <w:cantSplit w:val="0"/>
          <w:tblHeader w:val="0"/>
        </w:trPr>
        <w:tc>
          <w:tcPr>
            <w:shd w:fill="205595" w:val="clear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40" w:before="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Featured Sources</w:t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Source A: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New-York Tribune,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March 27, 1911,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Library of Congress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10"/>
                <w:szCs w:val="1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955.0" w:type="dxa"/>
        <w:jc w:val="left"/>
        <w:tblInd w:w="-9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0"/>
        <w:gridCol w:w="3780"/>
        <w:gridCol w:w="270"/>
        <w:gridCol w:w="9195"/>
        <w:tblGridChange w:id="0">
          <w:tblGrid>
            <w:gridCol w:w="1710"/>
            <w:gridCol w:w="3780"/>
            <w:gridCol w:w="270"/>
            <w:gridCol w:w="91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2"/>
            <w:shd w:fill="205595" w:val="clear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after="40" w:before="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Formative Performance Tasks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40" w:before="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05595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40" w:before="4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Teacher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 Guidance</w:t>
            </w:r>
          </w:p>
        </w:tc>
      </w:tr>
      <w:tr>
        <w:trPr>
          <w:cantSplit w:val="0"/>
          <w:trHeight w:val="1135.1822916666667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18">
            <w:pPr>
              <w:keepLines w:val="1"/>
              <w:tabs>
                <w:tab w:val="left" w:leader="none" w:pos="891"/>
              </w:tabs>
              <w:spacing w:after="120" w:before="12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73763"/>
                <w:rtl w:val="0"/>
              </w:rPr>
              <w:t xml:space="preserve">COLLABORATE</w:t>
            </w:r>
          </w:p>
          <w:p w:rsidR="00000000" w:rsidDel="00000000" w:rsidP="00000000" w:rsidRDefault="00000000" w:rsidRPr="00000000" w14:paraId="00000019">
            <w:pPr>
              <w:keepLines w:val="1"/>
              <w:tabs>
                <w:tab w:val="left" w:leader="none" w:pos="891"/>
              </w:tabs>
              <w:spacing w:after="120" w:before="12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Lines w:val="1"/>
              <w:tabs>
                <w:tab w:val="left" w:leader="none" w:pos="891"/>
              </w:tabs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85c6"/>
                <w:rtl w:val="0"/>
              </w:rPr>
              <w:t xml:space="preserve">Understand &amp; Assess: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Analyze newspaper headlines, identifying factors that contributed to the Triangle Shirtwaist Factory Fire. </w:t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C">
            <w:pPr>
              <w:keepLines w:val="1"/>
              <w:tabs>
                <w:tab w:val="left" w:leader="none" w:pos="891"/>
              </w:tabs>
              <w:spacing w:after="120" w:before="120"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Class begins with the teacher briefly explaining the context of the Triangle Shirtwaist Factory fire (mentioned in the section above), dividing students into small groups, and distributing a copy of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Source A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to each group.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Students then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carefully analyze each of the headlines written in response to the Triangle Shirtwaist Factory fire and identify what factors contributed to the tragedy, recording their responses on the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 graphic organizer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 Next, students craft proposals that could prevent a future tragedy.  </w:t>
            </w:r>
          </w:p>
          <w:p w:rsidR="00000000" w:rsidDel="00000000" w:rsidP="00000000" w:rsidRDefault="00000000" w:rsidRPr="00000000" w14:paraId="0000001D">
            <w:pPr>
              <w:keepLines w:val="1"/>
              <w:tabs>
                <w:tab w:val="left" w:leader="none" w:pos="891"/>
              </w:tabs>
              <w:spacing w:after="120" w:before="120"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teacher facilitates sharing the proposals with the class, perhaps by taping proposals up and conducting a gallery walk, trading proposals around the room in a circle, or guiding students to rotate between groups. After considering all of the proposals, students vote for the two they believe are the most effective by placing a sticky note (or marker) on their preferred proposals. Class concludes with a discussion of the decision-making process students used when voting.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.1822916666667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1E">
            <w:pPr>
              <w:keepLines w:val="1"/>
              <w:tabs>
                <w:tab w:val="left" w:leader="none" w:pos="891"/>
              </w:tabs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73763"/>
                <w:rtl w:val="0"/>
              </w:rPr>
              <w:t xml:space="preserve">PRODUCE</w:t>
            </w:r>
          </w:p>
        </w:tc>
        <w:tc>
          <w:tcPr/>
          <w:p w:rsidR="00000000" w:rsidDel="00000000" w:rsidP="00000000" w:rsidRDefault="00000000" w:rsidRPr="00000000" w14:paraId="0000001F">
            <w:pPr>
              <w:keepLines w:val="1"/>
              <w:tabs>
                <w:tab w:val="left" w:leader="none" w:pos="891"/>
              </w:tabs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85c6"/>
                <w:rtl w:val="0"/>
              </w:rPr>
              <w:t xml:space="preserve">Act: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Craft a proposal that could prevent a future tragedy. </w:t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1">
            <w:pPr>
              <w:keepLines w:val="1"/>
              <w:tabs>
                <w:tab w:val="left" w:leader="none" w:pos="891"/>
              </w:tabs>
              <w:spacing w:after="0" w:before="0"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.1822916666667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22">
            <w:pPr>
              <w:keepLines w:val="1"/>
              <w:tabs>
                <w:tab w:val="left" w:leader="none" w:pos="891"/>
              </w:tabs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73763"/>
                <w:rtl w:val="0"/>
              </w:rPr>
              <w:t xml:space="preserve">DELIBERATE</w:t>
            </w:r>
          </w:p>
        </w:tc>
        <w:tc>
          <w:tcPr/>
          <w:p w:rsidR="00000000" w:rsidDel="00000000" w:rsidP="00000000" w:rsidRDefault="00000000" w:rsidRPr="00000000" w14:paraId="00000023">
            <w:pPr>
              <w:keepLines w:val="1"/>
              <w:tabs>
                <w:tab w:val="left" w:leader="none" w:pos="891"/>
              </w:tabs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85c6"/>
                <w:rtl w:val="0"/>
              </w:rPr>
              <w:t xml:space="preserve">Act: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for the proposals most effective to prevent a future tragedy. </w:t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Lines w:val="1"/>
              <w:tabs>
                <w:tab w:val="left" w:leader="none" w:pos="891"/>
              </w:tabs>
              <w:spacing w:after="0" w:before="0"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widowControl w:val="0"/>
        <w:spacing w:line="240" w:lineRule="auto"/>
        <w:ind w:left="-810" w:firstLine="0"/>
        <w:jc w:val="center"/>
        <w:rPr/>
        <w:sectPr>
          <w:headerReference r:id="rId8" w:type="default"/>
          <w:footerReference r:id="rId9" w:type="default"/>
          <w:pgSz w:h="12240" w:w="15840" w:orient="landscape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-810" w:firstLine="0"/>
        <w:rPr>
          <w:rFonts w:ascii="Calibri" w:cs="Calibri" w:eastAsia="Calibri" w:hAnsi="Calibri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805.0" w:type="dxa"/>
        <w:jc w:val="left"/>
        <w:tblInd w:w="-9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5"/>
        <w:gridCol w:w="12900"/>
        <w:tblGridChange w:id="0">
          <w:tblGrid>
            <w:gridCol w:w="1905"/>
            <w:gridCol w:w="12900"/>
          </w:tblGrid>
        </w:tblGridChange>
      </w:tblGrid>
      <w:tr>
        <w:trPr>
          <w:cantSplit w:val="0"/>
          <w:trHeight w:val="60" w:hRule="atLeast"/>
          <w:tblHeader w:val="0"/>
        </w:trPr>
        <w:tc>
          <w:tcPr>
            <w:gridSpan w:val="2"/>
            <w:shd w:fill="003366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120" w:before="120" w:line="28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What did mass production cost US?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60" w:before="60" w:line="240" w:lineRule="auto"/>
              <w:rPr>
                <w:rFonts w:ascii="Calibri" w:cs="Calibri" w:eastAsia="Calibri" w:hAnsi="Calibri"/>
                <w:b w:val="1"/>
                <w:bCs w:val="1"/>
                <w:color w:val="1f497d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97d"/>
                <w:rtl w:val="0"/>
              </w:rPr>
              <w:t xml:space="preserve">Featured Source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Source A: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New-York Tribune,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March 27, 1911,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Library of Congress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spacing w:lin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left="-810" w:firstLine="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715.0" w:type="dxa"/>
        <w:jc w:val="left"/>
        <w:tblInd w:w="-9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05"/>
        <w:gridCol w:w="4905"/>
        <w:gridCol w:w="4905"/>
        <w:tblGridChange w:id="0">
          <w:tblGrid>
            <w:gridCol w:w="4905"/>
            <w:gridCol w:w="4905"/>
            <w:gridCol w:w="4905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-81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Headline 1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Headline 2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-810" w:firstLine="90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Headline 3</w:t>
            </w:r>
          </w:p>
        </w:tc>
      </w:tr>
      <w:tr>
        <w:trPr>
          <w:cantSplit w:val="0"/>
          <w:trHeight w:val="57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-81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657475" cy="3316762"/>
                  <wp:effectExtent b="38100" l="38100" r="38100" t="38100"/>
                  <wp:docPr id="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 b="5728" l="22596" r="48237" t="6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3316762"/>
                          </a:xfrm>
                          <a:prstGeom prst="rect"/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28925" cy="3314700"/>
                  <wp:effectExtent b="38100" l="38100" r="38100" t="3810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58494" r="612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314700"/>
                          </a:xfrm>
                          <a:prstGeom prst="rect"/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-810" w:firstLine="90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00350" cy="3333750"/>
                  <wp:effectExtent b="38100" l="38100" r="38100" t="3810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25301" r="4007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333750"/>
                          </a:xfrm>
                          <a:prstGeom prst="rect"/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spacing w:line="240" w:lineRule="auto"/>
        <w:ind w:left="-81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ind w:right="-720"/>
        <w:rPr/>
      </w:pPr>
      <w:r w:rsidDel="00000000" w:rsidR="00000000" w:rsidRPr="00000000">
        <w:rPr>
          <w:rFonts w:ascii="Calibri" w:cs="Calibri" w:eastAsia="Calibri" w:hAnsi="Calibri"/>
          <w:color w:val="595959"/>
          <w:sz w:val="20"/>
          <w:szCs w:val="20"/>
          <w:rtl w:val="0"/>
        </w:rPr>
        <w:t xml:space="preserve">Public domain. Available at the Library of Congress: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https://www.loc.gov/resource/sn83030214/1911-03-27/ed-1/?sp=4&amp;q=Blame+Twenty+Organizations&amp;r=0.011,-0.031,0.655,0.271,0</w:t>
        </w:r>
      </w:hyperlink>
      <w:r w:rsidDel="00000000" w:rsidR="00000000" w:rsidRPr="00000000">
        <w:rPr>
          <w:rFonts w:ascii="Calibri" w:cs="Calibri" w:eastAsia="Calibri" w:hAnsi="Calibri"/>
          <w:color w:val="595959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-810" w:firstLine="0"/>
        <w:rPr>
          <w:rFonts w:ascii="Calibri" w:cs="Calibri" w:eastAsia="Calibri" w:hAnsi="Calibri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760.0" w:type="dxa"/>
        <w:jc w:val="left"/>
        <w:tblInd w:w="-8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12900"/>
        <w:tblGridChange w:id="0">
          <w:tblGrid>
            <w:gridCol w:w="1860"/>
            <w:gridCol w:w="12900"/>
          </w:tblGrid>
        </w:tblGridChange>
      </w:tblGrid>
      <w:tr>
        <w:trPr>
          <w:cantSplit w:val="0"/>
          <w:trHeight w:val="60" w:hRule="atLeast"/>
          <w:tblHeader w:val="0"/>
        </w:trPr>
        <w:tc>
          <w:tcPr>
            <w:gridSpan w:val="2"/>
            <w:shd w:fill="003366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120" w:before="120" w:line="28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Graphic Organizer: What did mass production cost US?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spacing w:line="240" w:lineRule="auto"/>
        <w:ind w:left="-810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715.0" w:type="dxa"/>
        <w:jc w:val="left"/>
        <w:tblInd w:w="-8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95"/>
        <w:gridCol w:w="1110"/>
        <w:gridCol w:w="7410"/>
        <w:tblGridChange w:id="0">
          <w:tblGrid>
            <w:gridCol w:w="6195"/>
            <w:gridCol w:w="1110"/>
            <w:gridCol w:w="74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Part 1: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Analyze the headlines carefully.  Record factors that may have contributed to the Triangle Shirtwaist Factory fire tragedy.</w:t>
            </w:r>
          </w:p>
        </w:tc>
        <w:tc>
          <w:tcPr>
            <w:tcBorders>
              <w:top w:color="ffffff" w:space="0" w:sz="8" w:val="single"/>
              <w:left w:color="000000" w:space="0" w:sz="24" w:val="single"/>
              <w:bottom w:color="ffffff" w:space="0" w:sz="8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color w:val="0b539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Part 2: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Craft a proposal that could help prevent a future tragedy. Your proposal might start with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b5394"/>
                <w:rtl w:val="0"/>
              </w:rPr>
              <w:t xml:space="preserve">In order to prevent a future tragedy [describe the change] ... because… [explain how it would help]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000000" w:space="0" w:sz="24" w:val="single"/>
              <w:right w:color="000000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0"/>
                <w:szCs w:val="30"/>
                <w:rtl w:val="0"/>
              </w:rPr>
              <w:t xml:space="preserve">Why did the event become a tragedy?</w:t>
            </w:r>
          </w:p>
        </w:tc>
        <w:tc>
          <w:tcPr>
            <w:vMerge w:val="restart"/>
            <w:tcBorders>
              <w:top w:color="ffffff" w:space="0" w:sz="8" w:val="single"/>
              <w:left w:color="000000" w:space="0" w:sz="24" w:val="single"/>
              <w:bottom w:color="ffffff" w:space="0" w:sz="8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24" w:val="single"/>
              <w:right w:color="000000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0"/>
                <w:szCs w:val="30"/>
                <w:rtl w:val="0"/>
              </w:rPr>
              <w:t xml:space="preserve">Proposal</w:t>
            </w:r>
          </w:p>
        </w:tc>
      </w:tr>
      <w:tr>
        <w:trPr>
          <w:cantSplit w:val="1"/>
          <w:trHeight w:val="6345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3171825</wp:posOffset>
                  </wp:positionH>
                  <wp:positionV relativeFrom="paragraph">
                    <wp:posOffset>275720</wp:posOffset>
                  </wp:positionV>
                  <wp:extent cx="2000250" cy="3300984"/>
                  <wp:effectExtent b="0" l="0" r="0" t="0"/>
                  <wp:wrapNone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 b="6774" l="0" r="0" t="2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33009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continue"/>
            <w:tcBorders>
              <w:top w:color="ffffff" w:space="0" w:sz="8" w:val="single"/>
              <w:left w:color="000000" w:space="0" w:sz="24" w:val="single"/>
              <w:bottom w:color="ffffff" w:space="0" w:sz="8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widowControl w:val="0"/>
        <w:spacing w:line="240" w:lineRule="auto"/>
        <w:ind w:left="-990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  <w:tbl>
    <w:tblPr>
      <w:tblStyle w:val="Table8"/>
      <w:tblW w:w="9360.0" w:type="dxa"/>
      <w:jc w:val="center"/>
      <w:tblLayout w:type="fixed"/>
      <w:tblLook w:val="0600"/>
    </w:tblPr>
    <w:tblGrid>
      <w:gridCol w:w="3120"/>
      <w:gridCol w:w="3120"/>
      <w:gridCol w:w="3120"/>
      <w:tblGridChange w:id="0">
        <w:tblGrid>
          <w:gridCol w:w="3120"/>
          <w:gridCol w:w="3120"/>
          <w:gridCol w:w="3120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8">
          <w:pPr>
            <w:widowControl w:val="0"/>
            <w:spacing w:line="240" w:lineRule="auto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035326" cy="190500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5326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9">
          <w:pPr>
            <w:widowControl w:val="0"/>
            <w:spacing w:line="240" w:lineRule="auto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866900" cy="200025"/>
                <wp:effectExtent b="0" l="0" r="0" t="0"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690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A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766763" cy="278823"/>
                <wp:effectExtent b="0" l="0" r="0" 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763" cy="27882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B">
    <w:pPr>
      <w:widowControl w:val="0"/>
      <w:spacing w:line="240" w:lineRule="auto"/>
      <w:ind w:left="-81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widowControl w:val="0"/>
      <w:spacing w:line="240" w:lineRule="auto"/>
      <w:jc w:val="center"/>
      <w:rPr>
        <w:rFonts w:ascii="Calibri" w:cs="Calibri" w:eastAsia="Calibri" w:hAnsi="Calibri"/>
        <w:b w:val="1"/>
        <w:bCs w:val="1"/>
        <w:color w:val="f1c232"/>
        <w:highlight w:val="white"/>
      </w:rPr>
    </w:pPr>
    <w:r w:rsidDel="00000000" w:rsidR="00000000" w:rsidRPr="00000000">
      <w:rPr>
        <w:rFonts w:ascii="Calibri" w:cs="Calibri" w:eastAsia="Calibri" w:hAnsi="Calibri"/>
        <w:smallCaps w:val="1"/>
        <w:color w:val="2f5496"/>
        <w:sz w:val="36"/>
        <w:szCs w:val="36"/>
        <w:highlight w:val="white"/>
        <w:rtl w:val="0"/>
      </w:rPr>
      <w:t xml:space="preserve">Building Block Inquiry C3 Teachers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13" Type="http://schemas.openxmlformats.org/officeDocument/2006/relationships/image" Target="media/image3.png"/><Relationship Id="rId12" Type="http://schemas.openxmlformats.org/officeDocument/2006/relationships/hyperlink" Target="https://www.loc.gov/resource/sn83030214/1911-03-27/ed-1/?sp=4&amp;q=Blame+Twenty+Organizations&amp;r=0.011,-0.031,0.655,0.271,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1XIclH_eYK-AyzcCzCJnIsVw3BLYYsAlfvRU_cpjcrw/edit?usp=sharing" TargetMode="External"/><Relationship Id="rId7" Type="http://schemas.openxmlformats.org/officeDocument/2006/relationships/hyperlink" Target="https://docs.google.com/document/d/1xsFH0OoCtFDFgBNHFWIt9pIy5vitjiexHCZ0d2_7RAM/edit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