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4517D5FE" w14:textId="77777777" w:rsidR="00474801" w:rsidRPr="00C74953" w:rsidRDefault="00000000">
      <w:pPr>
        <w:keepNext/>
        <w:keepLines/>
        <w:widowControl/>
        <w:pBdr>
          <w:top w:val="nil"/>
          <w:left w:val="nil"/>
          <w:bottom w:val="single" w:sz="4" w:space="4" w:color="4F81BD"/>
          <w:right w:val="nil"/>
          <w:between w:val="nil"/>
        </w:pBdr>
        <w:spacing w:before="0" w:after="0" w:line="480" w:lineRule="auto"/>
        <w:jc w:val="center"/>
        <w:rPr>
          <w:rFonts w:ascii="Calibri" w:eastAsia="Calibri" w:hAnsi="Calibri" w:cs="Calibri"/>
          <w:b/>
          <w:bCs/>
          <w:i/>
          <w:iCs/>
          <w:color w:val="365F91" w:themeColor="accent1" w:themeShade="BF"/>
          <w:sz w:val="28"/>
          <w:szCs w:val="28"/>
        </w:rPr>
      </w:pPr>
      <w:r w:rsidRPr="00C74953">
        <w:rPr>
          <w:b/>
          <w:i/>
          <w:color w:val="365F91" w:themeColor="accent1" w:themeShade="BF"/>
          <w:sz w:val="24"/>
        </w:rPr>
        <w:t>U.S. History Inquiry: Is War Good for Women?</w:t>
      </w:r>
    </w:p>
    <w:p w14:paraId="3E7957DA" w14:textId="77777777" w:rsidR="00474801" w:rsidRPr="00C74953" w:rsidRDefault="00000000">
      <w:pPr>
        <w:spacing w:before="120" w:line="240" w:lineRule="auto"/>
        <w:jc w:val="center"/>
        <w:rPr>
          <w:rFonts w:ascii="Calibri" w:eastAsia="Calibri" w:hAnsi="Calibri" w:cs="Calibri"/>
          <w:b/>
          <w:bCs/>
          <w:i/>
          <w:iCs/>
          <w:color w:val="365F91" w:themeColor="accent1" w:themeShade="BF"/>
          <w:sz w:val="96"/>
          <w:szCs w:val="96"/>
        </w:rPr>
      </w:pPr>
      <w:r w:rsidRPr="00C74953">
        <w:rPr>
          <w:b/>
          <w:color w:val="365F91" w:themeColor="accent1" w:themeShade="BF"/>
          <w:sz w:val="62"/>
        </w:rPr>
        <w:t>Is War Good for Women?</w:t>
      </w:r>
    </w:p>
    <w:p w14:paraId="502C1339" w14:textId="77777777" w:rsidR="00474801" w:rsidRDefault="00474801">
      <w:pPr>
        <w:spacing w:before="0" w:after="0" w:line="240" w:lineRule="auto"/>
        <w:jc w:val="center"/>
        <w:rPr>
          <w:rFonts w:ascii="Times New Roman" w:eastAsia="Times New Roman" w:hAnsi="Times New Roman" w:cs="Times New Roman"/>
          <w:sz w:val="24"/>
          <w:szCs w:val="24"/>
        </w:rPr>
      </w:pPr>
    </w:p>
    <w:p w14:paraId="45EA410E" w14:textId="77777777" w:rsidR="00474801" w:rsidRDefault="00474801">
      <w:pPr>
        <w:spacing w:before="0" w:after="0" w:line="240" w:lineRule="auto"/>
        <w:ind w:left="202" w:right="374"/>
        <w:jc w:val="right"/>
        <w:rPr>
          <w:sz w:val="23"/>
          <w:szCs w:val="23"/>
        </w:rPr>
      </w:pPr>
    </w:p>
    <w:p w14:paraId="7F825119" w14:textId="3C9063CB" w:rsidR="00474801" w:rsidRDefault="00C74953">
      <w:pPr>
        <w:spacing w:before="0" w:after="0" w:line="240" w:lineRule="auto"/>
        <w:ind w:left="202" w:right="374"/>
        <w:jc w:val="center"/>
        <w:rPr>
          <w:sz w:val="23"/>
          <w:szCs w:val="23"/>
        </w:rPr>
      </w:pPr>
      <w:r>
        <w:fldChar w:fldCharType="begin"/>
      </w:r>
      <w:r>
        <w:instrText xml:space="preserve"> INCLUDEPICTURE "https://encrypted-tbn0.gstatic.com/images?q=tbn:ANd9GcSGNIzixS2efhF6oy0f0MB-m5ejmnALGAn2slj0pOxNxg&amp;s=10" \* MERGEFORMATINET </w:instrText>
      </w:r>
      <w:r>
        <w:fldChar w:fldCharType="separate"/>
      </w:r>
      <w:r>
        <w:rPr>
          <w:noProof/>
        </w:rPr>
        <w:drawing>
          <wp:inline distT="0" distB="0" distL="0" distR="0" wp14:anchorId="5E7D9AF1" wp14:editId="7BFEB107">
            <wp:extent cx="4751882" cy="3623002"/>
            <wp:effectExtent l="0" t="0" r="0" b="0"/>
            <wp:docPr id="1576171705" name="Picture 1" descr="Rosie the Riveter Inspired Women to Serve in World War II &gt; U.S. Department of War &gt; Story | U.S. Department of W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sie the Riveter Inspired Women to Serve in World War II &gt; U.S. Department of War &gt; Story | U.S. Department of W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4881" cy="3640538"/>
                    </a:xfrm>
                    <a:prstGeom prst="rect">
                      <a:avLst/>
                    </a:prstGeom>
                    <a:noFill/>
                    <a:ln>
                      <a:noFill/>
                    </a:ln>
                  </pic:spPr>
                </pic:pic>
              </a:graphicData>
            </a:graphic>
          </wp:inline>
        </w:drawing>
      </w:r>
      <w:r>
        <w:fldChar w:fldCharType="end"/>
      </w:r>
    </w:p>
    <w:p w14:paraId="4A9352C3" w14:textId="77777777" w:rsidR="00C74953" w:rsidRPr="00C74953" w:rsidRDefault="00C74953" w:rsidP="00C74953">
      <w:pPr>
        <w:keepNext/>
        <w:keepLines/>
        <w:spacing w:before="0" w:after="0" w:line="240" w:lineRule="auto"/>
        <w:jc w:val="center"/>
        <w:rPr>
          <w:i/>
          <w:iCs/>
          <w:sz w:val="18"/>
        </w:rPr>
      </w:pPr>
      <w:r>
        <w:rPr>
          <w:sz w:val="18"/>
        </w:rPr>
        <w:br/>
      </w:r>
      <w:r w:rsidRPr="00C74953">
        <w:rPr>
          <w:i/>
          <w:iCs/>
          <w:sz w:val="18"/>
        </w:rPr>
        <w:t>Rosie the Riveter Inspired Women to Serve in World War II</w:t>
      </w:r>
    </w:p>
    <w:p w14:paraId="308B8856" w14:textId="38EEBE43" w:rsidR="00474801" w:rsidRPr="00C74953" w:rsidRDefault="00C74953" w:rsidP="00C74953">
      <w:pPr>
        <w:keepNext/>
        <w:keepLines/>
        <w:spacing w:before="0" w:after="0" w:line="240" w:lineRule="auto"/>
        <w:jc w:val="center"/>
        <w:rPr>
          <w:rFonts w:ascii="Calibri" w:eastAsia="Calibri" w:hAnsi="Calibri" w:cs="Calibri"/>
          <w:b/>
          <w:bCs/>
          <w:i/>
          <w:iCs/>
          <w:color w:val="205595"/>
          <w:sz w:val="28"/>
          <w:szCs w:val="28"/>
        </w:rPr>
      </w:pPr>
      <w:r w:rsidRPr="00C74953">
        <w:rPr>
          <w:i/>
          <w:iCs/>
          <w:sz w:val="18"/>
        </w:rPr>
        <w:t>March 21, 2019</w:t>
      </w:r>
      <w:r w:rsidRPr="00C74953">
        <w:rPr>
          <w:i/>
          <w:iCs/>
          <w:sz w:val="18"/>
        </w:rPr>
        <w:br/>
      </w:r>
      <w:hyperlink r:id="rId9" w:history="1">
        <w:r w:rsidRPr="00C74953">
          <w:rPr>
            <w:rStyle w:val="Hyperlink"/>
            <w:i/>
            <w:iCs/>
            <w:sz w:val="18"/>
          </w:rPr>
          <w:t>https://www.war.gov/News/Feature-Stories/Story/article/1791664/rosie-the-riveter-inspired-women-to-serve-in-world-war-ii/</w:t>
        </w:r>
      </w:hyperlink>
    </w:p>
    <w:p w14:paraId="0ABB9875" w14:textId="77777777" w:rsidR="00C74953" w:rsidRDefault="00C74953">
      <w:pPr>
        <w:keepNext/>
        <w:keepLines/>
        <w:spacing w:before="0" w:after="0" w:line="240" w:lineRule="auto"/>
        <w:jc w:val="center"/>
        <w:rPr>
          <w:b/>
        </w:rPr>
      </w:pPr>
      <w:r>
        <w:rPr>
          <w:b/>
        </w:rPr>
        <w:br/>
      </w:r>
    </w:p>
    <w:p w14:paraId="73FA1EB6" w14:textId="1ED9205F" w:rsidR="00474801" w:rsidRDefault="00000000">
      <w:pPr>
        <w:keepNext/>
        <w:keepLines/>
        <w:spacing w:before="0" w:after="0" w:line="240" w:lineRule="auto"/>
        <w:jc w:val="center"/>
        <w:rPr>
          <w:rFonts w:ascii="Calibri" w:eastAsia="Calibri" w:hAnsi="Calibri" w:cs="Calibri"/>
          <w:b/>
          <w:bCs/>
          <w:color w:val="205595"/>
          <w:sz w:val="28"/>
          <w:szCs w:val="28"/>
        </w:rPr>
      </w:pPr>
      <w:r>
        <w:rPr>
          <w:b/>
        </w:rPr>
        <w:t>Supporting Questions</w:t>
      </w:r>
    </w:p>
    <w:p w14:paraId="5D79134B" w14:textId="77777777" w:rsidR="00474801" w:rsidRDefault="00000000" w:rsidP="00983995">
      <w:pPr>
        <w:numPr>
          <w:ilvl w:val="0"/>
          <w:numId w:val="1"/>
        </w:numPr>
        <w:spacing w:before="280" w:after="120" w:line="240" w:lineRule="auto"/>
        <w:ind w:left="878" w:hanging="547"/>
      </w:pPr>
      <w:r>
        <w:t>What opportunities did women have in wartime America?</w:t>
      </w:r>
    </w:p>
    <w:p w14:paraId="08E602BC" w14:textId="77777777" w:rsidR="00474801" w:rsidRDefault="00000000" w:rsidP="00983995">
      <w:pPr>
        <w:numPr>
          <w:ilvl w:val="0"/>
          <w:numId w:val="1"/>
        </w:numPr>
        <w:spacing w:before="0" w:after="120" w:line="240" w:lineRule="auto"/>
        <w:ind w:left="878" w:hanging="547"/>
      </w:pPr>
      <w:r>
        <w:t>What was the war's economic impact on American women?</w:t>
      </w:r>
    </w:p>
    <w:p w14:paraId="7B039BA4" w14:textId="77777777" w:rsidR="00474801" w:rsidRDefault="00000000" w:rsidP="00983995">
      <w:pPr>
        <w:numPr>
          <w:ilvl w:val="0"/>
          <w:numId w:val="1"/>
        </w:numPr>
        <w:spacing w:before="0" w:after="120" w:line="240" w:lineRule="auto"/>
        <w:ind w:left="878" w:hanging="547"/>
      </w:pPr>
      <w:r>
        <w:t>How did wartime changes continue to shape women's lives after World War II?</w:t>
      </w:r>
    </w:p>
    <w:p w14:paraId="5476EF5E" w14:textId="77777777" w:rsidR="00474801" w:rsidRDefault="00474801">
      <w:pPr>
        <w:keepNext/>
        <w:keepLines/>
        <w:spacing w:before="0" w:after="0" w:line="240" w:lineRule="auto"/>
        <w:jc w:val="center"/>
        <w:rPr>
          <w:rFonts w:ascii="Calibri" w:eastAsia="Calibri" w:hAnsi="Calibri" w:cs="Calibri"/>
          <w:b/>
          <w:bCs/>
          <w:color w:val="205595"/>
          <w:sz w:val="28"/>
          <w:szCs w:val="28"/>
        </w:rPr>
      </w:pPr>
    </w:p>
    <w:p w14:paraId="71C9CEAC" w14:textId="77777777" w:rsidR="00474801" w:rsidRDefault="00000000">
      <w:pPr>
        <w:pBdr>
          <w:top w:val="nil"/>
          <w:left w:val="nil"/>
          <w:bottom w:val="nil"/>
          <w:right w:val="nil"/>
          <w:between w:val="nil"/>
        </w:pBdr>
        <w:spacing w:before="0" w:after="0" w:line="276" w:lineRule="auto"/>
        <w:rPr>
          <w:rFonts w:ascii="Calibri" w:eastAsia="Calibri" w:hAnsi="Calibri" w:cs="Calibri"/>
          <w:b/>
          <w:bCs/>
          <w:color w:val="205595"/>
          <w:sz w:val="28"/>
          <w:szCs w:val="28"/>
        </w:rPr>
        <w:sectPr w:rsidR="00474801">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432" w:footer="432" w:gutter="0"/>
          <w:pgNumType w:start="1"/>
          <w:cols w:space="720"/>
        </w:sectPr>
      </w:pPr>
      <w:r>
        <w:br w:type="page"/>
      </w:r>
    </w:p>
    <w:p w14:paraId="660AA168" w14:textId="77777777" w:rsidR="00474801" w:rsidRPr="00C74953" w:rsidRDefault="00000000">
      <w:pPr>
        <w:keepNext/>
        <w:keepLines/>
        <w:widowControl/>
        <w:pBdr>
          <w:top w:val="nil"/>
          <w:left w:val="nil"/>
          <w:bottom w:val="single" w:sz="4" w:space="4" w:color="4F81BD"/>
          <w:right w:val="nil"/>
          <w:between w:val="nil"/>
        </w:pBdr>
        <w:spacing w:before="0" w:after="0" w:line="480" w:lineRule="auto"/>
        <w:jc w:val="center"/>
        <w:rPr>
          <w:rFonts w:ascii="Calibri" w:eastAsia="Calibri" w:hAnsi="Calibri" w:cs="Calibri"/>
          <w:b/>
          <w:bCs/>
          <w:i/>
          <w:iCs/>
          <w:color w:val="365F91" w:themeColor="accent1" w:themeShade="BF"/>
          <w:sz w:val="28"/>
          <w:szCs w:val="28"/>
        </w:rPr>
      </w:pPr>
      <w:r w:rsidRPr="00C74953">
        <w:rPr>
          <w:b/>
          <w:i/>
          <w:color w:val="365F91" w:themeColor="accent1" w:themeShade="BF"/>
          <w:sz w:val="24"/>
        </w:rPr>
        <w:lastRenderedPageBreak/>
        <w:t>U.S. History Inquiry: Is War Good for Women?</w:t>
      </w:r>
    </w:p>
    <w:p w14:paraId="40DEF576" w14:textId="77777777" w:rsidR="00474801" w:rsidRDefault="00474801">
      <w:pPr>
        <w:spacing w:before="0" w:after="0" w:line="240" w:lineRule="auto"/>
        <w:rPr>
          <w:sz w:val="18"/>
          <w:szCs w:val="18"/>
        </w:rPr>
      </w:pPr>
    </w:p>
    <w:tbl>
      <w:tblPr>
        <w:tblStyle w:val="a8"/>
        <w:tblW w:w="1080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9"/>
        <w:gridCol w:w="8741"/>
      </w:tblGrid>
      <w:tr w:rsidR="00474801" w14:paraId="53A387D0" w14:textId="77777777">
        <w:trPr>
          <w:trHeight w:val="60"/>
        </w:trPr>
        <w:tc>
          <w:tcPr>
            <w:tcW w:w="10800" w:type="dxa"/>
            <w:gridSpan w:val="2"/>
            <w:shd w:val="clear" w:color="auto" w:fill="003366"/>
            <w:tcMar>
              <w:top w:w="55" w:type="dxa"/>
              <w:left w:w="65" w:type="dxa"/>
              <w:bottom w:w="55" w:type="dxa"/>
              <w:right w:w="65" w:type="dxa"/>
            </w:tcMar>
            <w:vAlign w:val="center"/>
          </w:tcPr>
          <w:p w14:paraId="447B922C" w14:textId="77777777" w:rsidR="00474801" w:rsidRDefault="00000000" w:rsidP="00C74953">
            <w:pPr>
              <w:spacing w:before="0" w:after="0" w:line="240" w:lineRule="auto"/>
              <w:jc w:val="center"/>
            </w:pPr>
            <w:r>
              <w:rPr>
                <w:sz w:val="30"/>
              </w:rPr>
              <w:t>Is War Good for Women?</w:t>
            </w:r>
          </w:p>
        </w:tc>
      </w:tr>
      <w:tr w:rsidR="00474801" w:rsidRPr="00C74953" w14:paraId="33B69F2A" w14:textId="77777777">
        <w:tc>
          <w:tcPr>
            <w:tcW w:w="2059" w:type="dxa"/>
            <w:tcMar>
              <w:top w:w="55" w:type="dxa"/>
              <w:left w:w="65" w:type="dxa"/>
              <w:bottom w:w="55" w:type="dxa"/>
              <w:right w:w="65" w:type="dxa"/>
            </w:tcMar>
            <w:vAlign w:val="center"/>
          </w:tcPr>
          <w:p w14:paraId="439E0AA2" w14:textId="77777777" w:rsidR="00474801" w:rsidRPr="00C74953" w:rsidRDefault="00000000">
            <w:pPr>
              <w:spacing w:before="0" w:after="0" w:line="240" w:lineRule="auto"/>
              <w:rPr>
                <w:rFonts w:asciiTheme="majorHAnsi" w:eastAsia="Calibri" w:hAnsiTheme="majorHAnsi" w:cstheme="majorHAnsi"/>
                <w:b/>
                <w:bCs/>
                <w:color w:val="1F497D"/>
                <w:sz w:val="20"/>
                <w:szCs w:val="20"/>
              </w:rPr>
            </w:pPr>
            <w:r w:rsidRPr="00C74953">
              <w:rPr>
                <w:rFonts w:asciiTheme="majorHAnsi" w:eastAsia="Calibri" w:hAnsiTheme="majorHAnsi" w:cstheme="majorHAnsi"/>
                <w:b/>
                <w:bCs/>
                <w:color w:val="1F497D"/>
                <w:sz w:val="20"/>
                <w:szCs w:val="20"/>
              </w:rPr>
              <w:t>Social Studies Standards</w:t>
            </w:r>
          </w:p>
        </w:tc>
        <w:tc>
          <w:tcPr>
            <w:tcW w:w="8741" w:type="dxa"/>
            <w:tcMar>
              <w:top w:w="55" w:type="dxa"/>
              <w:left w:w="65" w:type="dxa"/>
              <w:bottom w:w="55" w:type="dxa"/>
              <w:right w:w="65" w:type="dxa"/>
            </w:tcMar>
            <w:vAlign w:val="center"/>
          </w:tcPr>
          <w:p w14:paraId="210ABB0D" w14:textId="77777777" w:rsidR="00474801" w:rsidRPr="00C74953" w:rsidRDefault="00000000">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§113.41.d.7 - History. The student understands the domestic and international impact of U.S. participation in World War II.</w:t>
            </w:r>
          </w:p>
        </w:tc>
      </w:tr>
      <w:tr w:rsidR="00474801" w:rsidRPr="00C74953" w14:paraId="10FCA892" w14:textId="77777777">
        <w:tc>
          <w:tcPr>
            <w:tcW w:w="2059" w:type="dxa"/>
            <w:tcMar>
              <w:top w:w="55" w:type="dxa"/>
              <w:left w:w="65" w:type="dxa"/>
              <w:bottom w:w="55" w:type="dxa"/>
              <w:right w:w="65" w:type="dxa"/>
            </w:tcMar>
            <w:vAlign w:val="center"/>
          </w:tcPr>
          <w:p w14:paraId="0004E601" w14:textId="77777777" w:rsidR="00474801" w:rsidRPr="00C74953" w:rsidRDefault="00000000">
            <w:pPr>
              <w:spacing w:before="0" w:after="0" w:line="240" w:lineRule="auto"/>
              <w:rPr>
                <w:rFonts w:asciiTheme="majorHAnsi" w:eastAsia="Calibri" w:hAnsiTheme="majorHAnsi" w:cstheme="majorHAnsi"/>
                <w:b/>
                <w:bCs/>
                <w:color w:val="1F497D"/>
                <w:sz w:val="20"/>
                <w:szCs w:val="20"/>
              </w:rPr>
            </w:pPr>
            <w:r w:rsidRPr="00C74953">
              <w:rPr>
                <w:rFonts w:asciiTheme="majorHAnsi" w:eastAsia="Calibri" w:hAnsiTheme="majorHAnsi" w:cstheme="majorHAnsi"/>
                <w:b/>
                <w:bCs/>
                <w:color w:val="1F497D"/>
                <w:sz w:val="20"/>
                <w:szCs w:val="20"/>
              </w:rPr>
              <w:t>Staging the Compelling Question</w:t>
            </w:r>
          </w:p>
        </w:tc>
        <w:tc>
          <w:tcPr>
            <w:tcW w:w="8741" w:type="dxa"/>
            <w:tcMar>
              <w:top w:w="55" w:type="dxa"/>
              <w:left w:w="65" w:type="dxa"/>
              <w:bottom w:w="55" w:type="dxa"/>
              <w:right w:w="65" w:type="dxa"/>
            </w:tcMar>
            <w:vAlign w:val="center"/>
          </w:tcPr>
          <w:p w14:paraId="56F85C60" w14:textId="77777777" w:rsidR="00474801" w:rsidRPr="00C74953" w:rsidRDefault="00000000">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After brief WWII background, examine 6-8 wartime images and classify each as harmful, empowering, or both. Use the classifications to establish criteria for judging whether war can be "good" for women.</w:t>
            </w:r>
          </w:p>
        </w:tc>
      </w:tr>
    </w:tbl>
    <w:p w14:paraId="47DB9446" w14:textId="77777777" w:rsidR="00474801" w:rsidRPr="00C74953" w:rsidRDefault="00474801">
      <w:pPr>
        <w:spacing w:before="0" w:after="0" w:line="240" w:lineRule="auto"/>
        <w:rPr>
          <w:rFonts w:asciiTheme="majorHAnsi" w:hAnsiTheme="majorHAnsi" w:cstheme="majorHAnsi"/>
          <w:sz w:val="20"/>
          <w:szCs w:val="20"/>
        </w:rPr>
      </w:pPr>
    </w:p>
    <w:tbl>
      <w:tblPr>
        <w:tblStyle w:val="a9"/>
        <w:tblW w:w="11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6"/>
        <w:gridCol w:w="327"/>
        <w:gridCol w:w="3346"/>
        <w:gridCol w:w="327"/>
        <w:gridCol w:w="3346"/>
        <w:gridCol w:w="365"/>
      </w:tblGrid>
      <w:tr w:rsidR="00474801" w:rsidRPr="00C74953" w14:paraId="298472C5" w14:textId="77777777">
        <w:trPr>
          <w:trHeight w:val="320"/>
        </w:trPr>
        <w:tc>
          <w:tcPr>
            <w:tcW w:w="3346" w:type="dxa"/>
            <w:tcBorders>
              <w:bottom w:val="single" w:sz="4" w:space="0" w:color="000000"/>
            </w:tcBorders>
            <w:shd w:val="clear" w:color="auto" w:fill="205595"/>
            <w:tcMar>
              <w:top w:w="55" w:type="dxa"/>
              <w:left w:w="65" w:type="dxa"/>
              <w:bottom w:w="55" w:type="dxa"/>
              <w:right w:w="65" w:type="dxa"/>
            </w:tcMar>
            <w:vAlign w:val="center"/>
          </w:tcPr>
          <w:p w14:paraId="4DD413DA" w14:textId="77777777" w:rsidR="00474801" w:rsidRPr="00C74953" w:rsidRDefault="00000000">
            <w:pPr>
              <w:spacing w:before="0" w:after="0" w:line="240" w:lineRule="auto"/>
              <w:jc w:val="center"/>
              <w:rPr>
                <w:rFonts w:asciiTheme="majorHAnsi" w:eastAsia="Calibri" w:hAnsiTheme="majorHAnsi" w:cstheme="majorHAnsi"/>
                <w:b/>
                <w:bCs/>
                <w:color w:val="FFFFFF"/>
                <w:sz w:val="20"/>
                <w:szCs w:val="20"/>
              </w:rPr>
            </w:pPr>
            <w:r w:rsidRPr="00C74953">
              <w:rPr>
                <w:rFonts w:asciiTheme="majorHAnsi" w:eastAsia="Calibri" w:hAnsiTheme="majorHAnsi" w:cstheme="majorHAnsi"/>
                <w:b/>
                <w:bCs/>
                <w:color w:val="FFFFFF"/>
                <w:sz w:val="20"/>
                <w:szCs w:val="20"/>
              </w:rPr>
              <w:t>Supporting Question 1</w:t>
            </w:r>
          </w:p>
        </w:tc>
        <w:tc>
          <w:tcPr>
            <w:tcW w:w="327" w:type="dxa"/>
            <w:tcBorders>
              <w:top w:val="nil"/>
              <w:bottom w:val="nil"/>
            </w:tcBorders>
            <w:shd w:val="clear" w:color="auto" w:fill="FFFFFF"/>
            <w:tcMar>
              <w:top w:w="55" w:type="dxa"/>
              <w:left w:w="65" w:type="dxa"/>
              <w:bottom w:w="55" w:type="dxa"/>
              <w:right w:w="65" w:type="dxa"/>
            </w:tcMar>
          </w:tcPr>
          <w:p w14:paraId="5C0A648A" w14:textId="77777777" w:rsidR="00474801" w:rsidRPr="00C74953" w:rsidRDefault="00474801">
            <w:pPr>
              <w:spacing w:before="0" w:after="0" w:line="240" w:lineRule="auto"/>
              <w:jc w:val="center"/>
              <w:rPr>
                <w:rFonts w:asciiTheme="majorHAnsi" w:eastAsia="Calibri" w:hAnsiTheme="majorHAnsi" w:cstheme="majorHAnsi"/>
                <w:b/>
                <w:bCs/>
                <w:color w:val="FFFFFF"/>
                <w:sz w:val="20"/>
                <w:szCs w:val="20"/>
              </w:rPr>
            </w:pPr>
          </w:p>
        </w:tc>
        <w:tc>
          <w:tcPr>
            <w:tcW w:w="3346" w:type="dxa"/>
            <w:tcBorders>
              <w:bottom w:val="single" w:sz="4" w:space="0" w:color="000000"/>
            </w:tcBorders>
            <w:shd w:val="clear" w:color="auto" w:fill="205595"/>
            <w:tcMar>
              <w:top w:w="55" w:type="dxa"/>
              <w:left w:w="65" w:type="dxa"/>
              <w:bottom w:w="55" w:type="dxa"/>
              <w:right w:w="65" w:type="dxa"/>
            </w:tcMar>
            <w:vAlign w:val="center"/>
          </w:tcPr>
          <w:p w14:paraId="15BFF3E0" w14:textId="77777777" w:rsidR="00474801" w:rsidRPr="00C74953" w:rsidRDefault="00000000">
            <w:pPr>
              <w:spacing w:before="0" w:after="0" w:line="240" w:lineRule="auto"/>
              <w:jc w:val="center"/>
              <w:rPr>
                <w:rFonts w:asciiTheme="majorHAnsi" w:eastAsia="Calibri" w:hAnsiTheme="majorHAnsi" w:cstheme="majorHAnsi"/>
                <w:b/>
                <w:bCs/>
                <w:color w:val="FFFFFF"/>
                <w:sz w:val="20"/>
                <w:szCs w:val="20"/>
              </w:rPr>
            </w:pPr>
            <w:r w:rsidRPr="00C74953">
              <w:rPr>
                <w:rFonts w:asciiTheme="majorHAnsi" w:eastAsia="Calibri" w:hAnsiTheme="majorHAnsi" w:cstheme="majorHAnsi"/>
                <w:b/>
                <w:bCs/>
                <w:color w:val="FFFFFF"/>
                <w:sz w:val="20"/>
                <w:szCs w:val="20"/>
              </w:rPr>
              <w:t>Supporting Question 2</w:t>
            </w:r>
          </w:p>
        </w:tc>
        <w:tc>
          <w:tcPr>
            <w:tcW w:w="327" w:type="dxa"/>
            <w:tcBorders>
              <w:top w:val="nil"/>
              <w:bottom w:val="nil"/>
            </w:tcBorders>
            <w:shd w:val="clear" w:color="auto" w:fill="FFFFFF"/>
            <w:tcMar>
              <w:top w:w="55" w:type="dxa"/>
              <w:left w:w="65" w:type="dxa"/>
              <w:bottom w:w="55" w:type="dxa"/>
              <w:right w:w="65" w:type="dxa"/>
            </w:tcMar>
          </w:tcPr>
          <w:p w14:paraId="7FFBA7DF" w14:textId="77777777" w:rsidR="00474801" w:rsidRPr="00C74953" w:rsidRDefault="00474801">
            <w:pPr>
              <w:spacing w:before="0" w:after="0" w:line="240" w:lineRule="auto"/>
              <w:jc w:val="center"/>
              <w:rPr>
                <w:rFonts w:asciiTheme="majorHAnsi" w:eastAsia="Calibri" w:hAnsiTheme="majorHAnsi" w:cstheme="majorHAnsi"/>
                <w:b/>
                <w:bCs/>
                <w:color w:val="FFFFFF"/>
                <w:sz w:val="20"/>
                <w:szCs w:val="20"/>
              </w:rPr>
            </w:pPr>
          </w:p>
        </w:tc>
        <w:tc>
          <w:tcPr>
            <w:tcW w:w="3346" w:type="dxa"/>
            <w:tcBorders>
              <w:bottom w:val="single" w:sz="4" w:space="0" w:color="000000"/>
              <w:right w:val="single" w:sz="4" w:space="0" w:color="000000"/>
            </w:tcBorders>
            <w:shd w:val="clear" w:color="auto" w:fill="205595"/>
            <w:tcMar>
              <w:top w:w="55" w:type="dxa"/>
              <w:left w:w="65" w:type="dxa"/>
              <w:bottom w:w="55" w:type="dxa"/>
              <w:right w:w="65" w:type="dxa"/>
            </w:tcMar>
            <w:vAlign w:val="center"/>
          </w:tcPr>
          <w:p w14:paraId="74640B7F" w14:textId="77777777" w:rsidR="00474801" w:rsidRPr="00C74953" w:rsidRDefault="00000000">
            <w:pPr>
              <w:spacing w:before="0" w:after="0" w:line="240" w:lineRule="auto"/>
              <w:jc w:val="center"/>
              <w:rPr>
                <w:rFonts w:asciiTheme="majorHAnsi" w:eastAsia="Calibri" w:hAnsiTheme="majorHAnsi" w:cstheme="majorHAnsi"/>
                <w:b/>
                <w:bCs/>
                <w:color w:val="FFFFFF"/>
                <w:sz w:val="20"/>
                <w:szCs w:val="20"/>
              </w:rPr>
            </w:pPr>
            <w:r w:rsidRPr="00C74953">
              <w:rPr>
                <w:rFonts w:asciiTheme="majorHAnsi" w:eastAsia="Calibri" w:hAnsiTheme="majorHAnsi" w:cstheme="majorHAnsi"/>
                <w:b/>
                <w:bCs/>
                <w:color w:val="FFFFFF"/>
                <w:sz w:val="20"/>
                <w:szCs w:val="20"/>
              </w:rPr>
              <w:t>Supporting Question 3</w:t>
            </w:r>
          </w:p>
        </w:tc>
        <w:tc>
          <w:tcPr>
            <w:tcW w:w="365" w:type="dxa"/>
            <w:tcBorders>
              <w:top w:val="nil"/>
              <w:left w:val="single" w:sz="4" w:space="0" w:color="000000"/>
              <w:bottom w:val="nil"/>
              <w:right w:val="nil"/>
            </w:tcBorders>
            <w:shd w:val="clear" w:color="auto" w:fill="FFFFFF"/>
            <w:tcMar>
              <w:top w:w="55" w:type="dxa"/>
              <w:left w:w="65" w:type="dxa"/>
              <w:bottom w:w="55" w:type="dxa"/>
              <w:right w:w="65" w:type="dxa"/>
            </w:tcMar>
          </w:tcPr>
          <w:p w14:paraId="3D1A0025" w14:textId="77777777" w:rsidR="00474801" w:rsidRPr="00C74953" w:rsidRDefault="00474801">
            <w:pPr>
              <w:spacing w:before="0" w:after="0" w:line="240" w:lineRule="auto"/>
              <w:jc w:val="center"/>
              <w:rPr>
                <w:rFonts w:asciiTheme="majorHAnsi" w:eastAsia="Calibri" w:hAnsiTheme="majorHAnsi" w:cstheme="majorHAnsi"/>
                <w:b/>
                <w:bCs/>
                <w:color w:val="FFFFFF"/>
                <w:sz w:val="20"/>
                <w:szCs w:val="20"/>
              </w:rPr>
            </w:pPr>
          </w:p>
        </w:tc>
      </w:tr>
      <w:tr w:rsidR="00474801" w:rsidRPr="00C74953" w14:paraId="101358D7" w14:textId="77777777" w:rsidTr="00983995">
        <w:trPr>
          <w:trHeight w:val="340"/>
        </w:trPr>
        <w:tc>
          <w:tcPr>
            <w:tcW w:w="3346" w:type="dxa"/>
            <w:tcMar>
              <w:top w:w="55" w:type="dxa"/>
              <w:left w:w="65" w:type="dxa"/>
              <w:bottom w:w="55" w:type="dxa"/>
              <w:right w:w="65" w:type="dxa"/>
            </w:tcMar>
          </w:tcPr>
          <w:p w14:paraId="5933B58C" w14:textId="77777777" w:rsidR="00474801" w:rsidRPr="00C74953" w:rsidRDefault="00000000" w:rsidP="00983995">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What opportunities did women have in wartime America?</w:t>
            </w:r>
          </w:p>
        </w:tc>
        <w:tc>
          <w:tcPr>
            <w:tcW w:w="327" w:type="dxa"/>
            <w:tcBorders>
              <w:top w:val="nil"/>
              <w:bottom w:val="nil"/>
            </w:tcBorders>
            <w:shd w:val="clear" w:color="auto" w:fill="FFFFFF"/>
            <w:tcMar>
              <w:top w:w="55" w:type="dxa"/>
              <w:left w:w="65" w:type="dxa"/>
              <w:bottom w:w="55" w:type="dxa"/>
              <w:right w:w="65" w:type="dxa"/>
            </w:tcMar>
          </w:tcPr>
          <w:p w14:paraId="2FC8AEBA" w14:textId="77777777" w:rsidR="00474801" w:rsidRPr="00C74953" w:rsidRDefault="00474801" w:rsidP="00983995">
            <w:pPr>
              <w:spacing w:before="0" w:after="0" w:line="240" w:lineRule="auto"/>
              <w:rPr>
                <w:rFonts w:asciiTheme="majorHAnsi" w:eastAsia="Calibri" w:hAnsiTheme="majorHAnsi" w:cstheme="majorHAnsi"/>
                <w:sz w:val="20"/>
                <w:szCs w:val="20"/>
              </w:rPr>
            </w:pPr>
          </w:p>
        </w:tc>
        <w:tc>
          <w:tcPr>
            <w:tcW w:w="3346" w:type="dxa"/>
            <w:tcBorders>
              <w:right w:val="single" w:sz="4" w:space="0" w:color="262626"/>
            </w:tcBorders>
            <w:tcMar>
              <w:top w:w="55" w:type="dxa"/>
              <w:left w:w="65" w:type="dxa"/>
              <w:bottom w:w="55" w:type="dxa"/>
              <w:right w:w="65" w:type="dxa"/>
            </w:tcMar>
          </w:tcPr>
          <w:p w14:paraId="40E3DA81" w14:textId="77777777" w:rsidR="00474801" w:rsidRPr="00C74953" w:rsidRDefault="00000000" w:rsidP="00983995">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What was the war's economic impact on American women?</w:t>
            </w:r>
          </w:p>
        </w:tc>
        <w:tc>
          <w:tcPr>
            <w:tcW w:w="327" w:type="dxa"/>
            <w:tcBorders>
              <w:top w:val="nil"/>
              <w:bottom w:val="nil"/>
            </w:tcBorders>
            <w:shd w:val="clear" w:color="auto" w:fill="FFFFFF"/>
            <w:tcMar>
              <w:top w:w="55" w:type="dxa"/>
              <w:left w:w="65" w:type="dxa"/>
              <w:bottom w:w="55" w:type="dxa"/>
              <w:right w:w="65" w:type="dxa"/>
            </w:tcMar>
          </w:tcPr>
          <w:p w14:paraId="004264E7" w14:textId="77777777" w:rsidR="00474801" w:rsidRPr="00C74953" w:rsidRDefault="00474801" w:rsidP="00983995">
            <w:pPr>
              <w:spacing w:before="0" w:after="0" w:line="240" w:lineRule="auto"/>
              <w:rPr>
                <w:rFonts w:asciiTheme="majorHAnsi" w:eastAsia="Calibri" w:hAnsiTheme="majorHAnsi" w:cstheme="majorHAnsi"/>
                <w:sz w:val="20"/>
                <w:szCs w:val="20"/>
              </w:rPr>
            </w:pPr>
          </w:p>
        </w:tc>
        <w:tc>
          <w:tcPr>
            <w:tcW w:w="3346" w:type="dxa"/>
            <w:tcBorders>
              <w:right w:val="single" w:sz="4" w:space="0" w:color="000000"/>
            </w:tcBorders>
            <w:tcMar>
              <w:top w:w="55" w:type="dxa"/>
              <w:left w:w="65" w:type="dxa"/>
              <w:bottom w:w="55" w:type="dxa"/>
              <w:right w:w="65" w:type="dxa"/>
            </w:tcMar>
          </w:tcPr>
          <w:p w14:paraId="0E25A3D3" w14:textId="77777777" w:rsidR="00474801" w:rsidRPr="00C74953" w:rsidRDefault="00000000" w:rsidP="00983995">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How did wartime changes continue to shape women's lives after World War II?</w:t>
            </w:r>
          </w:p>
        </w:tc>
        <w:tc>
          <w:tcPr>
            <w:tcW w:w="365" w:type="dxa"/>
            <w:tcBorders>
              <w:top w:val="nil"/>
              <w:left w:val="single" w:sz="4" w:space="0" w:color="000000"/>
              <w:bottom w:val="nil"/>
              <w:right w:val="nil"/>
            </w:tcBorders>
            <w:shd w:val="clear" w:color="auto" w:fill="FFFFFF"/>
            <w:tcMar>
              <w:top w:w="55" w:type="dxa"/>
              <w:left w:w="65" w:type="dxa"/>
              <w:bottom w:w="55" w:type="dxa"/>
              <w:right w:w="65" w:type="dxa"/>
            </w:tcMar>
          </w:tcPr>
          <w:p w14:paraId="550A8814" w14:textId="77777777" w:rsidR="00474801" w:rsidRPr="00C74953" w:rsidRDefault="00474801">
            <w:pPr>
              <w:spacing w:before="0" w:after="0" w:line="240" w:lineRule="auto"/>
              <w:rPr>
                <w:rFonts w:asciiTheme="majorHAnsi" w:eastAsia="Calibri" w:hAnsiTheme="majorHAnsi" w:cstheme="majorHAnsi"/>
                <w:sz w:val="20"/>
                <w:szCs w:val="20"/>
              </w:rPr>
            </w:pPr>
          </w:p>
        </w:tc>
      </w:tr>
      <w:tr w:rsidR="00474801" w:rsidRPr="00C74953" w14:paraId="1B863F0E" w14:textId="77777777">
        <w:trPr>
          <w:trHeight w:val="560"/>
        </w:trPr>
        <w:tc>
          <w:tcPr>
            <w:tcW w:w="3346" w:type="dxa"/>
            <w:shd w:val="clear" w:color="auto" w:fill="205595"/>
            <w:tcMar>
              <w:top w:w="55" w:type="dxa"/>
              <w:left w:w="65" w:type="dxa"/>
              <w:bottom w:w="55" w:type="dxa"/>
              <w:right w:w="65" w:type="dxa"/>
            </w:tcMar>
            <w:vAlign w:val="center"/>
          </w:tcPr>
          <w:p w14:paraId="5143F989" w14:textId="77777777" w:rsidR="00474801" w:rsidRPr="00C74953" w:rsidRDefault="00000000">
            <w:pPr>
              <w:spacing w:before="0" w:after="0" w:line="240" w:lineRule="auto"/>
              <w:rPr>
                <w:rFonts w:asciiTheme="majorHAnsi" w:eastAsia="Calibri" w:hAnsiTheme="majorHAnsi" w:cstheme="majorHAnsi"/>
                <w:b/>
                <w:bCs/>
                <w:color w:val="FFFFFF"/>
                <w:sz w:val="20"/>
                <w:szCs w:val="20"/>
              </w:rPr>
            </w:pPr>
            <w:r w:rsidRPr="00C74953">
              <w:rPr>
                <w:rFonts w:asciiTheme="majorHAnsi" w:eastAsia="Calibri" w:hAnsiTheme="majorHAnsi" w:cstheme="majorHAnsi"/>
                <w:b/>
                <w:bCs/>
                <w:color w:val="FFFFFF"/>
                <w:sz w:val="20"/>
                <w:szCs w:val="20"/>
              </w:rPr>
              <w:t>Formative Performance Task</w:t>
            </w:r>
          </w:p>
        </w:tc>
        <w:tc>
          <w:tcPr>
            <w:tcW w:w="327" w:type="dxa"/>
            <w:tcBorders>
              <w:top w:val="nil"/>
              <w:bottom w:val="nil"/>
            </w:tcBorders>
            <w:shd w:val="clear" w:color="auto" w:fill="FFFFFF"/>
            <w:tcMar>
              <w:top w:w="55" w:type="dxa"/>
              <w:left w:w="65" w:type="dxa"/>
              <w:bottom w:w="55" w:type="dxa"/>
              <w:right w:w="65" w:type="dxa"/>
            </w:tcMar>
          </w:tcPr>
          <w:p w14:paraId="37C8D6E9" w14:textId="77777777" w:rsidR="00474801" w:rsidRPr="00C74953" w:rsidRDefault="00474801">
            <w:pPr>
              <w:spacing w:before="0" w:after="0" w:line="240" w:lineRule="auto"/>
              <w:jc w:val="center"/>
              <w:rPr>
                <w:rFonts w:asciiTheme="majorHAnsi" w:eastAsia="Calibri" w:hAnsiTheme="majorHAnsi" w:cstheme="majorHAnsi"/>
                <w:b/>
                <w:bCs/>
                <w:color w:val="FFFFFF"/>
                <w:sz w:val="20"/>
                <w:szCs w:val="20"/>
              </w:rPr>
            </w:pPr>
          </w:p>
        </w:tc>
        <w:tc>
          <w:tcPr>
            <w:tcW w:w="3346" w:type="dxa"/>
            <w:shd w:val="clear" w:color="auto" w:fill="205595"/>
            <w:tcMar>
              <w:top w:w="55" w:type="dxa"/>
              <w:left w:w="65" w:type="dxa"/>
              <w:bottom w:w="55" w:type="dxa"/>
              <w:right w:w="65" w:type="dxa"/>
            </w:tcMar>
            <w:vAlign w:val="center"/>
          </w:tcPr>
          <w:p w14:paraId="2EE96FD4" w14:textId="77777777" w:rsidR="00474801" w:rsidRPr="00C74953" w:rsidRDefault="00000000">
            <w:pPr>
              <w:spacing w:before="0" w:after="0" w:line="240" w:lineRule="auto"/>
              <w:rPr>
                <w:rFonts w:asciiTheme="majorHAnsi" w:eastAsia="Calibri" w:hAnsiTheme="majorHAnsi" w:cstheme="majorHAnsi"/>
                <w:b/>
                <w:bCs/>
                <w:color w:val="FFFFFF"/>
                <w:sz w:val="20"/>
                <w:szCs w:val="20"/>
              </w:rPr>
            </w:pPr>
            <w:r w:rsidRPr="00C74953">
              <w:rPr>
                <w:rFonts w:asciiTheme="majorHAnsi" w:eastAsia="Calibri" w:hAnsiTheme="majorHAnsi" w:cstheme="majorHAnsi"/>
                <w:b/>
                <w:bCs/>
                <w:color w:val="FFFFFF"/>
                <w:sz w:val="20"/>
                <w:szCs w:val="20"/>
              </w:rPr>
              <w:t>Formative Performance Task</w:t>
            </w:r>
          </w:p>
        </w:tc>
        <w:tc>
          <w:tcPr>
            <w:tcW w:w="327" w:type="dxa"/>
            <w:tcBorders>
              <w:top w:val="nil"/>
              <w:bottom w:val="nil"/>
            </w:tcBorders>
            <w:shd w:val="clear" w:color="auto" w:fill="FFFFFF"/>
            <w:tcMar>
              <w:top w:w="55" w:type="dxa"/>
              <w:left w:w="65" w:type="dxa"/>
              <w:bottom w:w="55" w:type="dxa"/>
              <w:right w:w="65" w:type="dxa"/>
            </w:tcMar>
          </w:tcPr>
          <w:p w14:paraId="4C73E0EC" w14:textId="77777777" w:rsidR="00474801" w:rsidRPr="00C74953" w:rsidRDefault="00474801">
            <w:pPr>
              <w:spacing w:before="0" w:after="0" w:line="240" w:lineRule="auto"/>
              <w:jc w:val="center"/>
              <w:rPr>
                <w:rFonts w:asciiTheme="majorHAnsi" w:eastAsia="Calibri" w:hAnsiTheme="majorHAnsi" w:cstheme="majorHAnsi"/>
                <w:b/>
                <w:bCs/>
                <w:color w:val="FFFFFF"/>
                <w:sz w:val="20"/>
                <w:szCs w:val="20"/>
              </w:rPr>
            </w:pPr>
          </w:p>
        </w:tc>
        <w:tc>
          <w:tcPr>
            <w:tcW w:w="3346" w:type="dxa"/>
            <w:tcBorders>
              <w:right w:val="single" w:sz="4" w:space="0" w:color="000000"/>
            </w:tcBorders>
            <w:shd w:val="clear" w:color="auto" w:fill="205595"/>
            <w:tcMar>
              <w:top w:w="55" w:type="dxa"/>
              <w:left w:w="65" w:type="dxa"/>
              <w:bottom w:w="55" w:type="dxa"/>
              <w:right w:w="65" w:type="dxa"/>
            </w:tcMar>
            <w:vAlign w:val="center"/>
          </w:tcPr>
          <w:p w14:paraId="14888D76" w14:textId="77777777" w:rsidR="00474801" w:rsidRPr="00C74953" w:rsidRDefault="00000000">
            <w:pPr>
              <w:spacing w:before="0" w:after="0" w:line="240" w:lineRule="auto"/>
              <w:rPr>
                <w:rFonts w:asciiTheme="majorHAnsi" w:eastAsia="Calibri" w:hAnsiTheme="majorHAnsi" w:cstheme="majorHAnsi"/>
                <w:b/>
                <w:bCs/>
                <w:color w:val="FFFFFF"/>
                <w:sz w:val="20"/>
                <w:szCs w:val="20"/>
              </w:rPr>
            </w:pPr>
            <w:r w:rsidRPr="00C74953">
              <w:rPr>
                <w:rFonts w:asciiTheme="majorHAnsi" w:eastAsia="Calibri" w:hAnsiTheme="majorHAnsi" w:cstheme="majorHAnsi"/>
                <w:b/>
                <w:bCs/>
                <w:color w:val="FFFFFF"/>
                <w:sz w:val="20"/>
                <w:szCs w:val="20"/>
              </w:rPr>
              <w:t>Formative Performance Task</w:t>
            </w:r>
          </w:p>
        </w:tc>
        <w:tc>
          <w:tcPr>
            <w:tcW w:w="365" w:type="dxa"/>
            <w:tcBorders>
              <w:top w:val="nil"/>
              <w:left w:val="single" w:sz="4" w:space="0" w:color="000000"/>
              <w:bottom w:val="nil"/>
              <w:right w:val="nil"/>
            </w:tcBorders>
            <w:shd w:val="clear" w:color="auto" w:fill="FFFFFF"/>
            <w:tcMar>
              <w:top w:w="55" w:type="dxa"/>
              <w:left w:w="65" w:type="dxa"/>
              <w:bottom w:w="55" w:type="dxa"/>
              <w:right w:w="65" w:type="dxa"/>
            </w:tcMar>
          </w:tcPr>
          <w:p w14:paraId="55A7A588" w14:textId="77777777" w:rsidR="00474801" w:rsidRPr="00C74953" w:rsidRDefault="00474801">
            <w:pPr>
              <w:spacing w:before="0" w:after="0" w:line="240" w:lineRule="auto"/>
              <w:jc w:val="center"/>
              <w:rPr>
                <w:rFonts w:asciiTheme="majorHAnsi" w:eastAsia="Calibri" w:hAnsiTheme="majorHAnsi" w:cstheme="majorHAnsi"/>
                <w:b/>
                <w:bCs/>
                <w:color w:val="FFFFFF"/>
                <w:sz w:val="20"/>
                <w:szCs w:val="20"/>
              </w:rPr>
            </w:pPr>
          </w:p>
        </w:tc>
      </w:tr>
      <w:tr w:rsidR="00474801" w:rsidRPr="00C74953" w14:paraId="5277CB46" w14:textId="77777777" w:rsidTr="00983995">
        <w:trPr>
          <w:trHeight w:val="620"/>
        </w:trPr>
        <w:tc>
          <w:tcPr>
            <w:tcW w:w="3346" w:type="dxa"/>
            <w:tcMar>
              <w:top w:w="55" w:type="dxa"/>
              <w:left w:w="65" w:type="dxa"/>
              <w:bottom w:w="55" w:type="dxa"/>
              <w:right w:w="65" w:type="dxa"/>
            </w:tcMar>
          </w:tcPr>
          <w:p w14:paraId="082DBE1A" w14:textId="77777777" w:rsidR="00474801" w:rsidRPr="00C74953" w:rsidRDefault="00000000" w:rsidP="00983995">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Create an Evidence Map: (1) duties/opportunities, (2) descriptive language, and (3) emotions recruiters tried to evoke.</w:t>
            </w:r>
          </w:p>
        </w:tc>
        <w:tc>
          <w:tcPr>
            <w:tcW w:w="327" w:type="dxa"/>
            <w:tcBorders>
              <w:top w:val="nil"/>
              <w:bottom w:val="nil"/>
            </w:tcBorders>
            <w:shd w:val="clear" w:color="auto" w:fill="FFFFFF"/>
            <w:tcMar>
              <w:top w:w="55" w:type="dxa"/>
              <w:left w:w="65" w:type="dxa"/>
              <w:bottom w:w="55" w:type="dxa"/>
              <w:right w:w="65" w:type="dxa"/>
            </w:tcMar>
          </w:tcPr>
          <w:p w14:paraId="5DE29FE5" w14:textId="77777777" w:rsidR="00474801" w:rsidRPr="00C74953" w:rsidRDefault="00474801" w:rsidP="00983995">
            <w:pPr>
              <w:spacing w:before="0" w:after="0" w:line="240" w:lineRule="auto"/>
              <w:rPr>
                <w:rFonts w:asciiTheme="majorHAnsi" w:eastAsia="Calibri" w:hAnsiTheme="majorHAnsi" w:cstheme="majorHAnsi"/>
                <w:sz w:val="20"/>
                <w:szCs w:val="20"/>
                <w:highlight w:val="lightGray"/>
              </w:rPr>
            </w:pPr>
          </w:p>
        </w:tc>
        <w:tc>
          <w:tcPr>
            <w:tcW w:w="3346" w:type="dxa"/>
            <w:tcMar>
              <w:top w:w="55" w:type="dxa"/>
              <w:left w:w="65" w:type="dxa"/>
              <w:bottom w:w="55" w:type="dxa"/>
              <w:right w:w="65" w:type="dxa"/>
            </w:tcMar>
          </w:tcPr>
          <w:p w14:paraId="5A1CF3B9" w14:textId="77777777" w:rsidR="00474801" w:rsidRPr="00C74953" w:rsidRDefault="00000000" w:rsidP="00983995">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Create a T-chart of economic evidence showing benefits and costs of wartime change for women.</w:t>
            </w:r>
          </w:p>
        </w:tc>
        <w:tc>
          <w:tcPr>
            <w:tcW w:w="327" w:type="dxa"/>
            <w:tcBorders>
              <w:top w:val="nil"/>
              <w:bottom w:val="nil"/>
            </w:tcBorders>
            <w:shd w:val="clear" w:color="auto" w:fill="FFFFFF"/>
            <w:tcMar>
              <w:top w:w="55" w:type="dxa"/>
              <w:left w:w="65" w:type="dxa"/>
              <w:bottom w:w="55" w:type="dxa"/>
              <w:right w:w="65" w:type="dxa"/>
            </w:tcMar>
          </w:tcPr>
          <w:p w14:paraId="23BEF0C0" w14:textId="77777777" w:rsidR="00474801" w:rsidRPr="00C74953" w:rsidRDefault="00474801" w:rsidP="00983995">
            <w:pPr>
              <w:spacing w:before="0" w:after="0" w:line="240" w:lineRule="auto"/>
              <w:rPr>
                <w:rFonts w:asciiTheme="majorHAnsi" w:eastAsia="Calibri" w:hAnsiTheme="majorHAnsi" w:cstheme="majorHAnsi"/>
                <w:sz w:val="20"/>
                <w:szCs w:val="20"/>
                <w:highlight w:val="lightGray"/>
              </w:rPr>
            </w:pPr>
          </w:p>
        </w:tc>
        <w:tc>
          <w:tcPr>
            <w:tcW w:w="3346" w:type="dxa"/>
            <w:tcBorders>
              <w:right w:val="single" w:sz="4" w:space="0" w:color="000000"/>
            </w:tcBorders>
            <w:tcMar>
              <w:top w:w="55" w:type="dxa"/>
              <w:left w:w="65" w:type="dxa"/>
              <w:bottom w:w="55" w:type="dxa"/>
              <w:right w:w="65" w:type="dxa"/>
            </w:tcMar>
          </w:tcPr>
          <w:p w14:paraId="6F26C8D8" w14:textId="77777777" w:rsidR="00474801" w:rsidRPr="00C74953" w:rsidRDefault="00000000" w:rsidP="00983995">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Complete a Policy Pathway Chart: what each policy did, the problem it addressed, and why the change was needed.</w:t>
            </w:r>
          </w:p>
        </w:tc>
        <w:tc>
          <w:tcPr>
            <w:tcW w:w="365" w:type="dxa"/>
            <w:tcBorders>
              <w:top w:val="nil"/>
              <w:left w:val="single" w:sz="4" w:space="0" w:color="000000"/>
              <w:bottom w:val="nil"/>
              <w:right w:val="nil"/>
            </w:tcBorders>
            <w:shd w:val="clear" w:color="auto" w:fill="FFFFFF"/>
            <w:tcMar>
              <w:top w:w="55" w:type="dxa"/>
              <w:left w:w="65" w:type="dxa"/>
              <w:bottom w:w="55" w:type="dxa"/>
              <w:right w:w="65" w:type="dxa"/>
            </w:tcMar>
          </w:tcPr>
          <w:p w14:paraId="3DF3F12B" w14:textId="77777777" w:rsidR="00474801" w:rsidRPr="00C74953" w:rsidRDefault="00474801">
            <w:pPr>
              <w:spacing w:before="0" w:after="0" w:line="240" w:lineRule="auto"/>
              <w:rPr>
                <w:rFonts w:asciiTheme="majorHAnsi" w:eastAsia="Calibri" w:hAnsiTheme="majorHAnsi" w:cstheme="majorHAnsi"/>
                <w:sz w:val="20"/>
                <w:szCs w:val="20"/>
                <w:highlight w:val="lightGray"/>
              </w:rPr>
            </w:pPr>
          </w:p>
        </w:tc>
      </w:tr>
      <w:tr w:rsidR="00474801" w:rsidRPr="00C74953" w14:paraId="1FCA769F" w14:textId="77777777">
        <w:trPr>
          <w:trHeight w:val="320"/>
        </w:trPr>
        <w:tc>
          <w:tcPr>
            <w:tcW w:w="3346" w:type="dxa"/>
            <w:shd w:val="clear" w:color="auto" w:fill="205595"/>
            <w:tcMar>
              <w:top w:w="55" w:type="dxa"/>
              <w:left w:w="65" w:type="dxa"/>
              <w:bottom w:w="55" w:type="dxa"/>
              <w:right w:w="65" w:type="dxa"/>
            </w:tcMar>
            <w:vAlign w:val="center"/>
          </w:tcPr>
          <w:p w14:paraId="58BE0F4D" w14:textId="77777777" w:rsidR="00474801" w:rsidRPr="00C74953" w:rsidRDefault="00000000">
            <w:pPr>
              <w:spacing w:before="0" w:after="0" w:line="240" w:lineRule="auto"/>
              <w:jc w:val="center"/>
              <w:rPr>
                <w:rFonts w:asciiTheme="majorHAnsi" w:eastAsia="Calibri" w:hAnsiTheme="majorHAnsi" w:cstheme="majorHAnsi"/>
                <w:b/>
                <w:bCs/>
                <w:color w:val="FFFFFF"/>
                <w:sz w:val="20"/>
                <w:szCs w:val="20"/>
              </w:rPr>
            </w:pPr>
            <w:r w:rsidRPr="00C74953">
              <w:rPr>
                <w:rFonts w:asciiTheme="majorHAnsi" w:eastAsia="Calibri" w:hAnsiTheme="majorHAnsi" w:cstheme="majorHAnsi"/>
                <w:b/>
                <w:bCs/>
                <w:color w:val="FFFFFF"/>
                <w:sz w:val="20"/>
                <w:szCs w:val="20"/>
              </w:rPr>
              <w:t>Featured Sources</w:t>
            </w:r>
          </w:p>
        </w:tc>
        <w:tc>
          <w:tcPr>
            <w:tcW w:w="327" w:type="dxa"/>
            <w:tcBorders>
              <w:top w:val="nil"/>
              <w:bottom w:val="nil"/>
            </w:tcBorders>
            <w:shd w:val="clear" w:color="auto" w:fill="FFFFFF"/>
            <w:tcMar>
              <w:top w:w="55" w:type="dxa"/>
              <w:left w:w="65" w:type="dxa"/>
              <w:bottom w:w="55" w:type="dxa"/>
              <w:right w:w="65" w:type="dxa"/>
            </w:tcMar>
          </w:tcPr>
          <w:p w14:paraId="0E5DD2C5" w14:textId="77777777" w:rsidR="00474801" w:rsidRPr="00C74953" w:rsidRDefault="00474801">
            <w:pPr>
              <w:spacing w:before="0" w:after="0" w:line="240" w:lineRule="auto"/>
              <w:jc w:val="center"/>
              <w:rPr>
                <w:rFonts w:asciiTheme="majorHAnsi" w:eastAsia="Calibri" w:hAnsiTheme="majorHAnsi" w:cstheme="majorHAnsi"/>
                <w:b/>
                <w:bCs/>
                <w:color w:val="FFFFFF"/>
                <w:sz w:val="20"/>
                <w:szCs w:val="20"/>
              </w:rPr>
            </w:pPr>
          </w:p>
        </w:tc>
        <w:tc>
          <w:tcPr>
            <w:tcW w:w="3346" w:type="dxa"/>
            <w:shd w:val="clear" w:color="auto" w:fill="205595"/>
            <w:tcMar>
              <w:top w:w="55" w:type="dxa"/>
              <w:left w:w="65" w:type="dxa"/>
              <w:bottom w:w="55" w:type="dxa"/>
              <w:right w:w="65" w:type="dxa"/>
            </w:tcMar>
            <w:vAlign w:val="center"/>
          </w:tcPr>
          <w:p w14:paraId="406B8238" w14:textId="77777777" w:rsidR="00474801" w:rsidRPr="00C74953" w:rsidRDefault="00000000">
            <w:pPr>
              <w:spacing w:before="0" w:after="0" w:line="240" w:lineRule="auto"/>
              <w:jc w:val="center"/>
              <w:rPr>
                <w:rFonts w:asciiTheme="majorHAnsi" w:eastAsia="Calibri" w:hAnsiTheme="majorHAnsi" w:cstheme="majorHAnsi"/>
                <w:b/>
                <w:bCs/>
                <w:color w:val="FFFFFF"/>
                <w:sz w:val="20"/>
                <w:szCs w:val="20"/>
              </w:rPr>
            </w:pPr>
            <w:r w:rsidRPr="00C74953">
              <w:rPr>
                <w:rFonts w:asciiTheme="majorHAnsi" w:eastAsia="Calibri" w:hAnsiTheme="majorHAnsi" w:cstheme="majorHAnsi"/>
                <w:b/>
                <w:bCs/>
                <w:color w:val="FFFFFF"/>
                <w:sz w:val="20"/>
                <w:szCs w:val="20"/>
              </w:rPr>
              <w:t>Featured Sources</w:t>
            </w:r>
          </w:p>
        </w:tc>
        <w:tc>
          <w:tcPr>
            <w:tcW w:w="327" w:type="dxa"/>
            <w:tcBorders>
              <w:top w:val="nil"/>
              <w:bottom w:val="nil"/>
            </w:tcBorders>
            <w:shd w:val="clear" w:color="auto" w:fill="FFFFFF"/>
            <w:tcMar>
              <w:top w:w="55" w:type="dxa"/>
              <w:left w:w="65" w:type="dxa"/>
              <w:bottom w:w="55" w:type="dxa"/>
              <w:right w:w="65" w:type="dxa"/>
            </w:tcMar>
          </w:tcPr>
          <w:p w14:paraId="776F7016" w14:textId="77777777" w:rsidR="00474801" w:rsidRPr="00C74953" w:rsidRDefault="00474801">
            <w:pPr>
              <w:spacing w:before="0" w:after="0" w:line="240" w:lineRule="auto"/>
              <w:jc w:val="center"/>
              <w:rPr>
                <w:rFonts w:asciiTheme="majorHAnsi" w:eastAsia="Calibri" w:hAnsiTheme="majorHAnsi" w:cstheme="majorHAnsi"/>
                <w:b/>
                <w:bCs/>
                <w:color w:val="FFFFFF"/>
                <w:sz w:val="20"/>
                <w:szCs w:val="20"/>
              </w:rPr>
            </w:pPr>
          </w:p>
        </w:tc>
        <w:tc>
          <w:tcPr>
            <w:tcW w:w="3346" w:type="dxa"/>
            <w:tcBorders>
              <w:right w:val="single" w:sz="4" w:space="0" w:color="000000"/>
            </w:tcBorders>
            <w:shd w:val="clear" w:color="auto" w:fill="205595"/>
            <w:tcMar>
              <w:top w:w="55" w:type="dxa"/>
              <w:left w:w="65" w:type="dxa"/>
              <w:bottom w:w="55" w:type="dxa"/>
              <w:right w:w="65" w:type="dxa"/>
            </w:tcMar>
            <w:vAlign w:val="center"/>
          </w:tcPr>
          <w:p w14:paraId="092C02B8" w14:textId="77777777" w:rsidR="00474801" w:rsidRPr="00C74953" w:rsidRDefault="00000000">
            <w:pPr>
              <w:spacing w:before="0" w:after="0" w:line="240" w:lineRule="auto"/>
              <w:jc w:val="center"/>
              <w:rPr>
                <w:rFonts w:asciiTheme="majorHAnsi" w:eastAsia="Calibri" w:hAnsiTheme="majorHAnsi" w:cstheme="majorHAnsi"/>
                <w:b/>
                <w:bCs/>
                <w:color w:val="FFFFFF"/>
                <w:sz w:val="20"/>
                <w:szCs w:val="20"/>
              </w:rPr>
            </w:pPr>
            <w:r w:rsidRPr="00C74953">
              <w:rPr>
                <w:rFonts w:asciiTheme="majorHAnsi" w:eastAsia="Calibri" w:hAnsiTheme="majorHAnsi" w:cstheme="majorHAnsi"/>
                <w:b/>
                <w:bCs/>
                <w:color w:val="FFFFFF"/>
                <w:sz w:val="20"/>
                <w:szCs w:val="20"/>
              </w:rPr>
              <w:t>Featured Sources</w:t>
            </w:r>
          </w:p>
        </w:tc>
        <w:tc>
          <w:tcPr>
            <w:tcW w:w="365" w:type="dxa"/>
            <w:tcBorders>
              <w:top w:val="nil"/>
              <w:left w:val="single" w:sz="4" w:space="0" w:color="000000"/>
              <w:bottom w:val="nil"/>
              <w:right w:val="nil"/>
            </w:tcBorders>
            <w:shd w:val="clear" w:color="auto" w:fill="FFFFFF"/>
            <w:tcMar>
              <w:top w:w="55" w:type="dxa"/>
              <w:left w:w="65" w:type="dxa"/>
              <w:bottom w:w="55" w:type="dxa"/>
              <w:right w:w="65" w:type="dxa"/>
            </w:tcMar>
          </w:tcPr>
          <w:p w14:paraId="7870F095" w14:textId="77777777" w:rsidR="00474801" w:rsidRPr="00C74953" w:rsidRDefault="00474801">
            <w:pPr>
              <w:spacing w:before="0" w:after="0" w:line="240" w:lineRule="auto"/>
              <w:jc w:val="center"/>
              <w:rPr>
                <w:rFonts w:asciiTheme="majorHAnsi" w:eastAsia="Calibri" w:hAnsiTheme="majorHAnsi" w:cstheme="majorHAnsi"/>
                <w:b/>
                <w:bCs/>
                <w:color w:val="FFFFFF"/>
                <w:sz w:val="20"/>
                <w:szCs w:val="20"/>
              </w:rPr>
            </w:pPr>
          </w:p>
        </w:tc>
      </w:tr>
      <w:tr w:rsidR="00474801" w:rsidRPr="00C74953" w14:paraId="13AEB417" w14:textId="77777777" w:rsidTr="00983995">
        <w:trPr>
          <w:trHeight w:val="760"/>
        </w:trPr>
        <w:tc>
          <w:tcPr>
            <w:tcW w:w="3346" w:type="dxa"/>
            <w:tcMar>
              <w:top w:w="55" w:type="dxa"/>
              <w:left w:w="65" w:type="dxa"/>
              <w:bottom w:w="55" w:type="dxa"/>
              <w:right w:w="65" w:type="dxa"/>
            </w:tcMar>
            <w:vAlign w:val="center"/>
          </w:tcPr>
          <w:p w14:paraId="35357A38" w14:textId="77777777" w:rsidR="00474801" w:rsidRPr="00C74953" w:rsidRDefault="00000000">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A. Cornelia Fort, At the Twilight's Last Gleaming</w:t>
            </w:r>
            <w:r w:rsidRPr="00C74953">
              <w:rPr>
                <w:rFonts w:asciiTheme="majorHAnsi" w:hAnsiTheme="majorHAnsi" w:cstheme="majorHAnsi"/>
                <w:sz w:val="20"/>
                <w:szCs w:val="20"/>
              </w:rPr>
              <w:br/>
              <w:t>B. Mildred Darlene Axton video</w:t>
            </w:r>
            <w:r w:rsidRPr="00C74953">
              <w:rPr>
                <w:rFonts w:asciiTheme="majorHAnsi" w:hAnsiTheme="majorHAnsi" w:cstheme="majorHAnsi"/>
                <w:sz w:val="20"/>
                <w:szCs w:val="20"/>
              </w:rPr>
              <w:br/>
              <w:t>C. Elaine Harmon video</w:t>
            </w:r>
            <w:r w:rsidRPr="00C74953">
              <w:rPr>
                <w:rFonts w:asciiTheme="majorHAnsi" w:hAnsiTheme="majorHAnsi" w:cstheme="majorHAnsi"/>
                <w:sz w:val="20"/>
                <w:szCs w:val="20"/>
              </w:rPr>
              <w:br/>
              <w:t>D. If Hitler Came to Mobile</w:t>
            </w:r>
            <w:r w:rsidRPr="00C74953">
              <w:rPr>
                <w:rFonts w:asciiTheme="majorHAnsi" w:hAnsiTheme="majorHAnsi" w:cstheme="majorHAnsi"/>
                <w:sz w:val="20"/>
                <w:szCs w:val="20"/>
              </w:rPr>
              <w:br/>
              <w:t>E. U.S. Employment Service recruitment poster, 1944</w:t>
            </w:r>
            <w:r w:rsidRPr="00C74953">
              <w:rPr>
                <w:rFonts w:asciiTheme="majorHAnsi" w:hAnsiTheme="majorHAnsi" w:cstheme="majorHAnsi"/>
                <w:sz w:val="20"/>
                <w:szCs w:val="20"/>
              </w:rPr>
              <w:br/>
              <w:t>F. Longing Won't Bring Him Back Sooner... Get a War Job!, 1944</w:t>
            </w:r>
            <w:r w:rsidRPr="00C74953">
              <w:rPr>
                <w:rFonts w:asciiTheme="majorHAnsi" w:hAnsiTheme="majorHAnsi" w:cstheme="majorHAnsi"/>
                <w:sz w:val="20"/>
                <w:szCs w:val="20"/>
              </w:rPr>
              <w:br/>
              <w:t>G. Rosie the Riveter recruiting ad</w:t>
            </w:r>
          </w:p>
        </w:tc>
        <w:tc>
          <w:tcPr>
            <w:tcW w:w="327" w:type="dxa"/>
            <w:tcBorders>
              <w:top w:val="nil"/>
              <w:bottom w:val="nil"/>
            </w:tcBorders>
            <w:shd w:val="clear" w:color="auto" w:fill="FFFFFF"/>
            <w:tcMar>
              <w:top w:w="55" w:type="dxa"/>
              <w:left w:w="65" w:type="dxa"/>
              <w:bottom w:w="55" w:type="dxa"/>
              <w:right w:w="65" w:type="dxa"/>
            </w:tcMar>
          </w:tcPr>
          <w:p w14:paraId="5F9E829F" w14:textId="77777777" w:rsidR="00474801" w:rsidRPr="00C74953" w:rsidRDefault="00474801">
            <w:pPr>
              <w:spacing w:before="0" w:after="0" w:line="240" w:lineRule="auto"/>
              <w:rPr>
                <w:rFonts w:asciiTheme="majorHAnsi" w:eastAsia="Calibri" w:hAnsiTheme="majorHAnsi" w:cstheme="majorHAnsi"/>
                <w:color w:val="222222"/>
                <w:sz w:val="20"/>
                <w:szCs w:val="20"/>
                <w:highlight w:val="white"/>
              </w:rPr>
            </w:pPr>
          </w:p>
        </w:tc>
        <w:tc>
          <w:tcPr>
            <w:tcW w:w="3346" w:type="dxa"/>
            <w:tcMar>
              <w:top w:w="55" w:type="dxa"/>
              <w:left w:w="65" w:type="dxa"/>
              <w:bottom w:w="55" w:type="dxa"/>
              <w:right w:w="65" w:type="dxa"/>
            </w:tcMar>
          </w:tcPr>
          <w:p w14:paraId="5F05E427" w14:textId="77777777" w:rsidR="00474801" w:rsidRPr="00C74953" w:rsidRDefault="00000000" w:rsidP="00983995">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A. Women and WWII: The Lasting Societal Shift</w:t>
            </w:r>
            <w:r w:rsidRPr="00C74953">
              <w:rPr>
                <w:rFonts w:asciiTheme="majorHAnsi" w:hAnsiTheme="majorHAnsi" w:cstheme="majorHAnsi"/>
                <w:sz w:val="20"/>
                <w:szCs w:val="20"/>
              </w:rPr>
              <w:br/>
              <w:t>B. The Role of World War II in the Rise of Women's Employment</w:t>
            </w:r>
            <w:r w:rsidRPr="00C74953">
              <w:rPr>
                <w:rFonts w:asciiTheme="majorHAnsi" w:hAnsiTheme="majorHAnsi" w:cstheme="majorHAnsi"/>
                <w:sz w:val="20"/>
                <w:szCs w:val="20"/>
              </w:rPr>
              <w:br/>
              <w:t>C. World War II in America: Spending, Deficits, Multipliers, and Sacrifice</w:t>
            </w:r>
          </w:p>
        </w:tc>
        <w:tc>
          <w:tcPr>
            <w:tcW w:w="327" w:type="dxa"/>
            <w:tcBorders>
              <w:top w:val="nil"/>
              <w:bottom w:val="nil"/>
            </w:tcBorders>
            <w:shd w:val="clear" w:color="auto" w:fill="FFFFFF"/>
            <w:tcMar>
              <w:top w:w="55" w:type="dxa"/>
              <w:left w:w="65" w:type="dxa"/>
              <w:bottom w:w="55" w:type="dxa"/>
              <w:right w:w="65" w:type="dxa"/>
            </w:tcMar>
          </w:tcPr>
          <w:p w14:paraId="000E9692" w14:textId="77777777" w:rsidR="00474801" w:rsidRPr="00C74953" w:rsidRDefault="00474801">
            <w:pPr>
              <w:spacing w:before="0" w:after="0" w:line="240" w:lineRule="auto"/>
              <w:rPr>
                <w:rFonts w:asciiTheme="majorHAnsi" w:eastAsia="Calibri" w:hAnsiTheme="majorHAnsi" w:cstheme="majorHAnsi"/>
                <w:sz w:val="20"/>
                <w:szCs w:val="20"/>
              </w:rPr>
            </w:pPr>
          </w:p>
        </w:tc>
        <w:tc>
          <w:tcPr>
            <w:tcW w:w="3346" w:type="dxa"/>
            <w:tcBorders>
              <w:right w:val="single" w:sz="4" w:space="0" w:color="000000"/>
            </w:tcBorders>
            <w:tcMar>
              <w:top w:w="55" w:type="dxa"/>
              <w:left w:w="65" w:type="dxa"/>
              <w:bottom w:w="55" w:type="dxa"/>
              <w:right w:w="65" w:type="dxa"/>
            </w:tcMar>
          </w:tcPr>
          <w:p w14:paraId="4AB30FD1" w14:textId="77777777" w:rsidR="00474801" w:rsidRPr="00C74953" w:rsidRDefault="00000000" w:rsidP="00983995">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A. G.I. Bill Improvement Act of 1977 (Public Law 95-202)</w:t>
            </w:r>
            <w:r w:rsidRPr="00C74953">
              <w:rPr>
                <w:rFonts w:asciiTheme="majorHAnsi" w:hAnsiTheme="majorHAnsi" w:cstheme="majorHAnsi"/>
                <w:sz w:val="20"/>
                <w:szCs w:val="20"/>
              </w:rPr>
              <w:br/>
              <w:t>B. Women's Armed Services Integration Act</w:t>
            </w:r>
            <w:r w:rsidRPr="00C74953">
              <w:rPr>
                <w:rFonts w:asciiTheme="majorHAnsi" w:hAnsiTheme="majorHAnsi" w:cstheme="majorHAnsi"/>
                <w:sz w:val="20"/>
                <w:szCs w:val="20"/>
              </w:rPr>
              <w:br/>
              <w:t>C. Public Law 78-49 - Lanham Act Childcare Amendments (1943)</w:t>
            </w:r>
          </w:p>
        </w:tc>
        <w:tc>
          <w:tcPr>
            <w:tcW w:w="365" w:type="dxa"/>
            <w:tcBorders>
              <w:top w:val="nil"/>
              <w:left w:val="single" w:sz="4" w:space="0" w:color="000000"/>
              <w:bottom w:val="nil"/>
              <w:right w:val="nil"/>
            </w:tcBorders>
            <w:shd w:val="clear" w:color="auto" w:fill="FFFFFF"/>
            <w:tcMar>
              <w:top w:w="55" w:type="dxa"/>
              <w:left w:w="65" w:type="dxa"/>
              <w:bottom w:w="55" w:type="dxa"/>
              <w:right w:w="65" w:type="dxa"/>
            </w:tcMar>
          </w:tcPr>
          <w:p w14:paraId="5272A848" w14:textId="77777777" w:rsidR="00474801" w:rsidRPr="00C74953" w:rsidRDefault="00474801">
            <w:pPr>
              <w:spacing w:before="0" w:after="0" w:line="240" w:lineRule="auto"/>
              <w:rPr>
                <w:rFonts w:asciiTheme="majorHAnsi" w:eastAsia="Calibri" w:hAnsiTheme="majorHAnsi" w:cstheme="majorHAnsi"/>
                <w:sz w:val="20"/>
                <w:szCs w:val="20"/>
              </w:rPr>
            </w:pPr>
          </w:p>
        </w:tc>
      </w:tr>
    </w:tbl>
    <w:p w14:paraId="303F9958" w14:textId="77777777" w:rsidR="00474801" w:rsidRPr="00C74953" w:rsidRDefault="00474801">
      <w:pPr>
        <w:spacing w:before="0" w:after="0" w:line="240" w:lineRule="auto"/>
        <w:rPr>
          <w:rFonts w:asciiTheme="majorHAnsi" w:hAnsiTheme="majorHAnsi" w:cstheme="majorHAnsi"/>
          <w:sz w:val="20"/>
          <w:szCs w:val="20"/>
        </w:rPr>
      </w:pPr>
    </w:p>
    <w:tbl>
      <w:tblPr>
        <w:tblStyle w:val="aa"/>
        <w:tblW w:w="1068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6"/>
        <w:gridCol w:w="9246"/>
      </w:tblGrid>
      <w:tr w:rsidR="00474801" w:rsidRPr="00C74953" w14:paraId="2C5D2EBC" w14:textId="77777777" w:rsidTr="00C74953">
        <w:trPr>
          <w:trHeight w:val="655"/>
        </w:trPr>
        <w:tc>
          <w:tcPr>
            <w:tcW w:w="1436" w:type="dxa"/>
            <w:vMerge w:val="restart"/>
            <w:tcMar>
              <w:top w:w="55" w:type="dxa"/>
              <w:left w:w="65" w:type="dxa"/>
              <w:bottom w:w="55" w:type="dxa"/>
              <w:right w:w="65" w:type="dxa"/>
            </w:tcMar>
            <w:vAlign w:val="center"/>
          </w:tcPr>
          <w:p w14:paraId="12EA8749" w14:textId="77777777" w:rsidR="00474801" w:rsidRPr="00C74953" w:rsidRDefault="00000000">
            <w:pPr>
              <w:spacing w:before="0" w:after="0" w:line="240" w:lineRule="auto"/>
              <w:rPr>
                <w:rFonts w:asciiTheme="majorHAnsi" w:eastAsia="Calibri" w:hAnsiTheme="majorHAnsi" w:cstheme="majorHAnsi"/>
                <w:b/>
                <w:bCs/>
                <w:color w:val="1F497D"/>
                <w:sz w:val="20"/>
                <w:szCs w:val="20"/>
              </w:rPr>
            </w:pPr>
            <w:r w:rsidRPr="00C74953">
              <w:rPr>
                <w:rFonts w:asciiTheme="majorHAnsi" w:eastAsia="Calibri" w:hAnsiTheme="majorHAnsi" w:cstheme="majorHAnsi"/>
                <w:b/>
                <w:bCs/>
                <w:color w:val="1F497D"/>
                <w:sz w:val="20"/>
                <w:szCs w:val="20"/>
              </w:rPr>
              <w:t>Summative Performance Task</w:t>
            </w:r>
          </w:p>
        </w:tc>
        <w:tc>
          <w:tcPr>
            <w:tcW w:w="9246" w:type="dxa"/>
            <w:tcMar>
              <w:top w:w="55" w:type="dxa"/>
              <w:left w:w="65" w:type="dxa"/>
              <w:bottom w:w="55" w:type="dxa"/>
              <w:right w:w="65" w:type="dxa"/>
            </w:tcMar>
            <w:vAlign w:val="center"/>
          </w:tcPr>
          <w:p w14:paraId="4A54A57B" w14:textId="07CFBBD3" w:rsidR="00474801" w:rsidRPr="00C74953" w:rsidRDefault="00000000">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 xml:space="preserve">ARGUMENT: Construct an evidence-based argument </w:t>
            </w:r>
            <w:r w:rsidR="00D16A67" w:rsidRPr="00C74953">
              <w:rPr>
                <w:rFonts w:asciiTheme="majorHAnsi" w:hAnsiTheme="majorHAnsi" w:cstheme="majorHAnsi"/>
                <w:sz w:val="20"/>
                <w:szCs w:val="20"/>
              </w:rPr>
              <w:t>answering,</w:t>
            </w:r>
            <w:r w:rsidRPr="00C74953">
              <w:rPr>
                <w:rFonts w:asciiTheme="majorHAnsi" w:hAnsiTheme="majorHAnsi" w:cstheme="majorHAnsi"/>
                <w:sz w:val="20"/>
                <w:szCs w:val="20"/>
              </w:rPr>
              <w:t xml:space="preserve"> "Is War Good for Women?" Make a clear claim, use evidence from multiple sources, and acknowledge a competing viewpoint.</w:t>
            </w:r>
          </w:p>
        </w:tc>
      </w:tr>
      <w:tr w:rsidR="00474801" w:rsidRPr="00C74953" w14:paraId="5F74EE04" w14:textId="77777777" w:rsidTr="00C74953">
        <w:trPr>
          <w:trHeight w:val="592"/>
        </w:trPr>
        <w:tc>
          <w:tcPr>
            <w:tcW w:w="1436" w:type="dxa"/>
            <w:vMerge/>
            <w:vAlign w:val="center"/>
          </w:tcPr>
          <w:p w14:paraId="0DD6ADFA" w14:textId="77777777" w:rsidR="00474801" w:rsidRPr="00C74953" w:rsidRDefault="00474801">
            <w:pPr>
              <w:pBdr>
                <w:top w:val="nil"/>
                <w:left w:val="nil"/>
                <w:bottom w:val="nil"/>
                <w:right w:val="nil"/>
                <w:between w:val="nil"/>
              </w:pBdr>
              <w:spacing w:before="0" w:after="0" w:line="276" w:lineRule="auto"/>
              <w:rPr>
                <w:rFonts w:asciiTheme="majorHAnsi" w:eastAsia="Calibri" w:hAnsiTheme="majorHAnsi" w:cstheme="majorHAnsi"/>
                <w:b/>
                <w:bCs/>
                <w:color w:val="1F497D"/>
                <w:sz w:val="20"/>
                <w:szCs w:val="20"/>
              </w:rPr>
            </w:pPr>
          </w:p>
        </w:tc>
        <w:tc>
          <w:tcPr>
            <w:tcW w:w="9246" w:type="dxa"/>
            <w:tcMar>
              <w:top w:w="55" w:type="dxa"/>
              <w:left w:w="65" w:type="dxa"/>
              <w:bottom w:w="55" w:type="dxa"/>
              <w:right w:w="65" w:type="dxa"/>
            </w:tcMar>
            <w:vAlign w:val="center"/>
          </w:tcPr>
          <w:p w14:paraId="7FDD14D3" w14:textId="77777777" w:rsidR="00474801" w:rsidRPr="00C74953" w:rsidRDefault="00000000">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EXTENSION: Investigate a more recent conflict and compare ways it has benefited or harmed women.</w:t>
            </w:r>
          </w:p>
        </w:tc>
      </w:tr>
      <w:tr w:rsidR="00474801" w:rsidRPr="00C74953" w14:paraId="2E9C7017" w14:textId="77777777">
        <w:tc>
          <w:tcPr>
            <w:tcW w:w="1436" w:type="dxa"/>
            <w:tcMar>
              <w:top w:w="55" w:type="dxa"/>
              <w:left w:w="65" w:type="dxa"/>
              <w:bottom w:w="55" w:type="dxa"/>
              <w:right w:w="65" w:type="dxa"/>
            </w:tcMar>
            <w:vAlign w:val="center"/>
          </w:tcPr>
          <w:p w14:paraId="23DC09F7" w14:textId="77777777" w:rsidR="00474801" w:rsidRPr="00C74953" w:rsidRDefault="00000000">
            <w:pPr>
              <w:spacing w:before="0" w:after="0" w:line="240" w:lineRule="auto"/>
              <w:rPr>
                <w:rFonts w:asciiTheme="majorHAnsi" w:eastAsia="Calibri" w:hAnsiTheme="majorHAnsi" w:cstheme="majorHAnsi"/>
                <w:b/>
                <w:bCs/>
                <w:color w:val="1F497D"/>
                <w:sz w:val="20"/>
                <w:szCs w:val="20"/>
              </w:rPr>
            </w:pPr>
            <w:r w:rsidRPr="00C74953">
              <w:rPr>
                <w:rFonts w:asciiTheme="majorHAnsi" w:eastAsia="Calibri" w:hAnsiTheme="majorHAnsi" w:cstheme="majorHAnsi"/>
                <w:b/>
                <w:bCs/>
                <w:color w:val="1F497D"/>
                <w:sz w:val="20"/>
                <w:szCs w:val="20"/>
              </w:rPr>
              <w:t>Taking Informed Action</w:t>
            </w:r>
          </w:p>
        </w:tc>
        <w:tc>
          <w:tcPr>
            <w:tcW w:w="9246" w:type="dxa"/>
            <w:tcMar>
              <w:top w:w="55" w:type="dxa"/>
              <w:left w:w="65" w:type="dxa"/>
              <w:bottom w:w="55" w:type="dxa"/>
              <w:right w:w="65" w:type="dxa"/>
            </w:tcMar>
            <w:vAlign w:val="center"/>
          </w:tcPr>
          <w:p w14:paraId="4B76FB88" w14:textId="77777777" w:rsidR="00474801" w:rsidRPr="00C74953" w:rsidRDefault="00000000">
            <w:pPr>
              <w:spacing w:before="0" w:after="0" w:line="240" w:lineRule="auto"/>
              <w:rPr>
                <w:rFonts w:asciiTheme="majorHAnsi" w:hAnsiTheme="majorHAnsi" w:cstheme="majorHAnsi"/>
                <w:sz w:val="20"/>
                <w:szCs w:val="20"/>
              </w:rPr>
            </w:pPr>
            <w:r w:rsidRPr="00C74953">
              <w:rPr>
                <w:rFonts w:asciiTheme="majorHAnsi" w:hAnsiTheme="majorHAnsi" w:cstheme="majorHAnsi"/>
                <w:sz w:val="20"/>
                <w:szCs w:val="20"/>
              </w:rPr>
              <w:t>UNDERSTAND: Identify organizations that support women affected by war.</w:t>
            </w:r>
            <w:r w:rsidRPr="00C74953">
              <w:rPr>
                <w:rFonts w:asciiTheme="majorHAnsi" w:hAnsiTheme="majorHAnsi" w:cstheme="majorHAnsi"/>
                <w:sz w:val="20"/>
                <w:szCs w:val="20"/>
              </w:rPr>
              <w:br/>
              <w:t>ASSESS: Compare their missions and determine where student action could be useful.</w:t>
            </w:r>
            <w:r w:rsidRPr="00C74953">
              <w:rPr>
                <w:rFonts w:asciiTheme="majorHAnsi" w:hAnsiTheme="majorHAnsi" w:cstheme="majorHAnsi"/>
                <w:sz w:val="20"/>
                <w:szCs w:val="20"/>
              </w:rPr>
              <w:br/>
              <w:t>ACT: Create informational materials, organize a donation drive or awareness event, or interview a representative and share the findings.</w:t>
            </w:r>
          </w:p>
        </w:tc>
      </w:tr>
    </w:tbl>
    <w:p w14:paraId="4284FA79" w14:textId="77777777" w:rsidR="00474801" w:rsidRPr="00C74953" w:rsidRDefault="00000000">
      <w:pPr>
        <w:rPr>
          <w:rFonts w:asciiTheme="majorHAnsi" w:hAnsiTheme="majorHAnsi" w:cstheme="majorHAnsi"/>
          <w:i/>
          <w:iCs/>
          <w:sz w:val="20"/>
          <w:szCs w:val="20"/>
        </w:rPr>
      </w:pPr>
      <w:r w:rsidRPr="00C74953">
        <w:rPr>
          <w:rFonts w:asciiTheme="majorHAnsi" w:hAnsiTheme="majorHAnsi" w:cstheme="majorHAnsi"/>
          <w:i/>
          <w:iCs/>
          <w:sz w:val="20"/>
          <w:szCs w:val="20"/>
        </w:rPr>
        <w:t>*Featured sources are suggested and links are provided.  It may be that these links are broken and we apologize in advance for the inconvenience.</w:t>
      </w:r>
    </w:p>
    <w:p w14:paraId="0289BED1" w14:textId="77777777" w:rsidR="00474801" w:rsidRDefault="00000000">
      <w:pPr>
        <w:pBdr>
          <w:top w:val="nil"/>
          <w:left w:val="nil"/>
          <w:bottom w:val="nil"/>
          <w:right w:val="nil"/>
          <w:between w:val="nil"/>
        </w:pBdr>
        <w:spacing w:before="0" w:after="0" w:line="276" w:lineRule="auto"/>
        <w:rPr>
          <w:i/>
          <w:iCs/>
          <w:sz w:val="20"/>
          <w:szCs w:val="20"/>
        </w:rPr>
        <w:sectPr w:rsidR="00474801">
          <w:type w:val="continuous"/>
          <w:pgSz w:w="12240" w:h="15840"/>
          <w:pgMar w:top="720" w:right="720" w:bottom="720" w:left="720" w:header="432" w:footer="432" w:gutter="0"/>
          <w:cols w:space="720"/>
        </w:sectPr>
      </w:pPr>
      <w:r>
        <w:br w:type="page"/>
      </w:r>
    </w:p>
    <w:p w14:paraId="7969F6A5" w14:textId="77777777" w:rsidR="00474801" w:rsidRDefault="00474801">
      <w:pPr>
        <w:spacing w:before="0" w:after="0" w:line="276" w:lineRule="auto"/>
      </w:pPr>
    </w:p>
    <w:tbl>
      <w:tblPr>
        <w:tblStyle w:val="ab"/>
        <w:tblW w:w="1068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tblGrid>
      <w:tr w:rsidR="00474801" w:rsidRPr="00D16A67" w14:paraId="272B0F09" w14:textId="77777777">
        <w:tc>
          <w:tcPr>
            <w:tcW w:w="10682" w:type="dxa"/>
            <w:shd w:val="clear" w:color="auto" w:fill="003366"/>
          </w:tcPr>
          <w:p w14:paraId="712803EA" w14:textId="77777777" w:rsidR="00474801" w:rsidRPr="00D16A67" w:rsidRDefault="00000000">
            <w:pPr>
              <w:pStyle w:val="Heading1"/>
              <w:rPr>
                <w:rFonts w:asciiTheme="majorHAnsi" w:hAnsiTheme="majorHAnsi" w:cstheme="majorHAnsi"/>
                <w:b w:val="0"/>
                <w:bCs w:val="0"/>
              </w:rPr>
            </w:pPr>
            <w:r w:rsidRPr="00D16A67">
              <w:rPr>
                <w:rFonts w:asciiTheme="majorHAnsi" w:hAnsiTheme="majorHAnsi" w:cstheme="majorHAnsi"/>
                <w:b w:val="0"/>
                <w:bCs w:val="0"/>
              </w:rPr>
              <w:t>Overview</w:t>
            </w:r>
          </w:p>
        </w:tc>
      </w:tr>
    </w:tbl>
    <w:p w14:paraId="39EC9CD1" w14:textId="77777777" w:rsidR="00474801" w:rsidRPr="00D16A67" w:rsidRDefault="00000000">
      <w:pPr>
        <w:pStyle w:val="Heading2"/>
        <w:rPr>
          <w:rFonts w:asciiTheme="majorHAnsi" w:hAnsiTheme="majorHAnsi" w:cstheme="majorHAnsi"/>
        </w:rPr>
      </w:pPr>
      <w:r w:rsidRPr="00D16A67">
        <w:rPr>
          <w:rFonts w:asciiTheme="majorHAnsi" w:hAnsiTheme="majorHAnsi" w:cstheme="majorHAnsi"/>
        </w:rPr>
        <w:t>Inquiry Description</w:t>
      </w:r>
    </w:p>
    <w:p w14:paraId="4548E1E1" w14:textId="77777777" w:rsidR="00474801" w:rsidRPr="00D16A67" w:rsidRDefault="00000000">
      <w:pPr>
        <w:spacing w:before="179" w:after="100" w:line="252" w:lineRule="auto"/>
        <w:ind w:right="726"/>
        <w:rPr>
          <w:rFonts w:asciiTheme="majorHAnsi" w:hAnsiTheme="majorHAnsi" w:cstheme="majorHAnsi"/>
        </w:rPr>
      </w:pPr>
      <w:r w:rsidRPr="00D16A67">
        <w:rPr>
          <w:rFonts w:asciiTheme="majorHAnsi" w:hAnsiTheme="majorHAnsi" w:cstheme="majorHAnsi"/>
          <w:sz w:val="21"/>
        </w:rPr>
        <w:t>This inquiry asks students to investigate a deliberately provocative question: Is war good for women? World War II brought destruction, separation, and loss, yet it also opened forms of work, military service, public responsibility, and economic participation that had often been restricted to women before 1941. Students examine that tension rather than treating wartime change as simply progress or simply hardship. Across three supporting questions, they consider opportunities available to women, the economic consequences of wartime mobilization, and the longer-term effects of wartime changes on policy and women’s public roles.</w:t>
      </w:r>
    </w:p>
    <w:p w14:paraId="180E5A6B" w14:textId="77777777" w:rsidR="00474801" w:rsidRPr="00D16A67" w:rsidRDefault="00000000">
      <w:pPr>
        <w:spacing w:before="179" w:after="100" w:line="252" w:lineRule="auto"/>
        <w:ind w:right="726"/>
        <w:rPr>
          <w:rFonts w:asciiTheme="majorHAnsi" w:hAnsiTheme="majorHAnsi" w:cstheme="majorHAnsi"/>
        </w:rPr>
      </w:pPr>
      <w:r w:rsidRPr="00D16A67">
        <w:rPr>
          <w:rFonts w:asciiTheme="majorHAnsi" w:hAnsiTheme="majorHAnsi" w:cstheme="majorHAnsi"/>
          <w:sz w:val="21"/>
        </w:rPr>
        <w:t>This inquiry centers on the following social studies standard:</w:t>
      </w:r>
    </w:p>
    <w:p w14:paraId="79AF8100" w14:textId="77777777" w:rsidR="00474801" w:rsidRPr="00D16A67" w:rsidRDefault="00000000">
      <w:pPr>
        <w:numPr>
          <w:ilvl w:val="0"/>
          <w:numId w:val="3"/>
        </w:numPr>
        <w:pBdr>
          <w:top w:val="nil"/>
          <w:left w:val="nil"/>
          <w:bottom w:val="nil"/>
          <w:right w:val="nil"/>
          <w:between w:val="nil"/>
        </w:pBdr>
        <w:spacing w:after="100" w:line="252" w:lineRule="auto"/>
        <w:rPr>
          <w:rFonts w:asciiTheme="majorHAnsi" w:hAnsiTheme="majorHAnsi" w:cstheme="majorHAnsi"/>
          <w:color w:val="000000"/>
        </w:rPr>
      </w:pPr>
      <w:r w:rsidRPr="00D16A67">
        <w:rPr>
          <w:rFonts w:asciiTheme="majorHAnsi" w:hAnsiTheme="majorHAnsi" w:cstheme="majorHAnsi"/>
          <w:sz w:val="21"/>
        </w:rPr>
        <w:t>§113.41.d.7 - History. The student understands the domestic and international impact of U.S. participation in World War II.</w:t>
      </w:r>
    </w:p>
    <w:p w14:paraId="5CF4DDCD" w14:textId="77777777" w:rsidR="00474801" w:rsidRPr="00D16A67" w:rsidRDefault="00000000">
      <w:pPr>
        <w:spacing w:after="100" w:line="252" w:lineRule="auto"/>
        <w:rPr>
          <w:rFonts w:asciiTheme="majorHAnsi" w:hAnsiTheme="majorHAnsi" w:cstheme="majorHAnsi"/>
        </w:rPr>
      </w:pPr>
      <w:r w:rsidRPr="00D16A67">
        <w:rPr>
          <w:rFonts w:asciiTheme="majorHAnsi" w:hAnsiTheme="majorHAnsi" w:cstheme="majorHAnsi"/>
          <w:sz w:val="21"/>
        </w:rPr>
        <w:t>Students will benefit from basic background knowledge of World War II, U.S. mobilization on the home front, and prevailing expectations for women before and during the war.</w:t>
      </w:r>
    </w:p>
    <w:p w14:paraId="38EDE49B" w14:textId="77777777" w:rsidR="00474801" w:rsidRPr="00D16A67" w:rsidRDefault="00000000">
      <w:pPr>
        <w:spacing w:after="100" w:line="252" w:lineRule="auto"/>
        <w:rPr>
          <w:rFonts w:asciiTheme="majorHAnsi" w:hAnsiTheme="majorHAnsi" w:cstheme="majorHAnsi"/>
        </w:rPr>
      </w:pPr>
      <w:r w:rsidRPr="00D16A67">
        <w:rPr>
          <w:rFonts w:asciiTheme="majorHAnsi" w:hAnsiTheme="majorHAnsi" w:cstheme="majorHAnsi"/>
          <w:sz w:val="19"/>
        </w:rPr>
        <w:t>Note: This inquiry is designed for approximately six or seven 40-minute class periods. Teachers may expand or compress the sequence depending on the amount of source analysis, discussion, and writing students need. The inquiry also lends itself to modeling source analysis and differentiating the featured sources and performance tasks for individual learners.</w:t>
      </w:r>
    </w:p>
    <w:p w14:paraId="1967CDB3" w14:textId="77777777" w:rsidR="00474801" w:rsidRPr="00D16A67" w:rsidRDefault="00000000">
      <w:pPr>
        <w:pStyle w:val="Heading2"/>
        <w:rPr>
          <w:rFonts w:asciiTheme="majorHAnsi" w:hAnsiTheme="majorHAnsi" w:cstheme="majorHAnsi"/>
        </w:rPr>
      </w:pPr>
      <w:r w:rsidRPr="00D16A67">
        <w:rPr>
          <w:rFonts w:asciiTheme="majorHAnsi" w:hAnsiTheme="majorHAnsi" w:cstheme="majorHAnsi"/>
        </w:rPr>
        <w:t xml:space="preserve">Structure of the Inquiry </w:t>
      </w:r>
    </w:p>
    <w:p w14:paraId="3E4B1921" w14:textId="77777777" w:rsidR="00474801" w:rsidRDefault="00000000">
      <w:pPr>
        <w:spacing w:after="100" w:line="252" w:lineRule="auto"/>
        <w:rPr>
          <w:rFonts w:asciiTheme="majorHAnsi" w:hAnsiTheme="majorHAnsi" w:cstheme="majorHAnsi"/>
          <w:sz w:val="21"/>
        </w:rPr>
      </w:pPr>
      <w:r w:rsidRPr="00D16A67">
        <w:rPr>
          <w:rFonts w:asciiTheme="majorHAnsi" w:hAnsiTheme="majorHAnsi" w:cstheme="majorHAnsi"/>
          <w:sz w:val="21"/>
        </w:rPr>
        <w:t>In addressing the compelling question, students move through three related lenses. They first investigate wartime opportunities and the messages used to recruit women into new roles. They then weigh evidence about the economic benefits and costs of wartime employment. Finally, they examine laws and policies that show how wartime changes continued to affect women after World War II. Together, the supporting questions prepare students to make a nuanced claim about whether expanded opportunity can make war "good" for women.</w:t>
      </w:r>
    </w:p>
    <w:p w14:paraId="6A51FBB1" w14:textId="77777777" w:rsidR="00D16A67" w:rsidRDefault="00D16A67">
      <w:pPr>
        <w:spacing w:after="100" w:line="252" w:lineRule="auto"/>
        <w:rPr>
          <w:rFonts w:asciiTheme="majorHAnsi" w:hAnsiTheme="majorHAnsi" w:cstheme="majorHAnsi"/>
          <w:sz w:val="21"/>
        </w:rPr>
      </w:pPr>
    </w:p>
    <w:p w14:paraId="19C841A9" w14:textId="77777777" w:rsidR="00D16A67" w:rsidRPr="00D16A67" w:rsidRDefault="00D16A67">
      <w:pPr>
        <w:spacing w:after="100" w:line="252" w:lineRule="auto"/>
        <w:rPr>
          <w:rFonts w:asciiTheme="majorHAnsi" w:hAnsiTheme="majorHAnsi" w:cstheme="majorHAnsi"/>
        </w:rPr>
      </w:pPr>
    </w:p>
    <w:p w14:paraId="620FDD4E" w14:textId="77777777" w:rsidR="00474801" w:rsidRPr="00D16A67" w:rsidRDefault="00474801">
      <w:pPr>
        <w:keepNext/>
        <w:spacing w:before="0" w:after="100" w:line="252" w:lineRule="auto"/>
        <w:rPr>
          <w:rFonts w:asciiTheme="majorHAnsi" w:hAnsiTheme="majorHAnsi" w:cstheme="majorHAnsi"/>
          <w:highlight w:val="white"/>
        </w:rPr>
      </w:pPr>
    </w:p>
    <w:p w14:paraId="17C8BAE1" w14:textId="77777777" w:rsidR="00D16A67" w:rsidRDefault="00D16A67">
      <w:r>
        <w:rPr>
          <w:b/>
          <w:bCs/>
        </w:rPr>
        <w:br w:type="page"/>
      </w:r>
    </w:p>
    <w:tbl>
      <w:tblPr>
        <w:tblStyle w:val="ac"/>
        <w:tblW w:w="1068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tblGrid>
      <w:tr w:rsidR="00474801" w:rsidRPr="00D16A67" w14:paraId="30872678" w14:textId="77777777">
        <w:trPr>
          <w:trHeight w:val="60"/>
        </w:trPr>
        <w:tc>
          <w:tcPr>
            <w:tcW w:w="10682" w:type="dxa"/>
            <w:shd w:val="clear" w:color="auto" w:fill="003366"/>
          </w:tcPr>
          <w:p w14:paraId="15A9DCC5" w14:textId="5CD94F6C" w:rsidR="00474801" w:rsidRPr="00D16A67" w:rsidRDefault="00000000">
            <w:pPr>
              <w:pStyle w:val="Heading1"/>
              <w:rPr>
                <w:rFonts w:asciiTheme="majorHAnsi" w:hAnsiTheme="majorHAnsi" w:cstheme="majorHAnsi"/>
                <w:b w:val="0"/>
                <w:bCs w:val="0"/>
              </w:rPr>
            </w:pPr>
            <w:r w:rsidRPr="00D16A67">
              <w:rPr>
                <w:rFonts w:asciiTheme="majorHAnsi" w:hAnsiTheme="majorHAnsi" w:cstheme="majorHAnsi"/>
                <w:b w:val="0"/>
                <w:bCs w:val="0"/>
              </w:rPr>
              <w:lastRenderedPageBreak/>
              <w:t>Staging the Compelling Question</w:t>
            </w:r>
          </w:p>
        </w:tc>
      </w:tr>
    </w:tbl>
    <w:p w14:paraId="4BDB8636" w14:textId="77777777" w:rsidR="00474801" w:rsidRDefault="00000000">
      <w:pPr>
        <w:spacing w:after="100" w:line="252" w:lineRule="auto"/>
        <w:rPr>
          <w:rFonts w:asciiTheme="majorHAnsi" w:hAnsiTheme="majorHAnsi" w:cstheme="majorHAnsi"/>
        </w:rPr>
      </w:pPr>
      <w:r w:rsidRPr="00D16A67">
        <w:rPr>
          <w:rFonts w:asciiTheme="majorHAnsi" w:hAnsiTheme="majorHAnsi" w:cstheme="majorHAnsi"/>
        </w:rPr>
        <w:t>Begin with brief background on World War II and then present 6-8 photographs representing different wartime experiences, such as women in factories, women serving in military support roles, farewells, Red Cross work, the 6888th Central Postal Directory Battalion, prisoners of war, and images of peace or combat. Ask students to classify each image as harmful, empowering, or both. Use the discussion to surface the criteria students are using to judge the word "good" and to introduce the tension at the center of the inquiry.</w:t>
      </w:r>
    </w:p>
    <w:p w14:paraId="67F52345" w14:textId="77777777" w:rsidR="00D16A67" w:rsidRPr="00D16A67" w:rsidRDefault="00D16A67">
      <w:pPr>
        <w:spacing w:after="100" w:line="252" w:lineRule="auto"/>
        <w:rPr>
          <w:rFonts w:asciiTheme="majorHAnsi" w:hAnsiTheme="majorHAnsi" w:cstheme="majorHAnsi"/>
        </w:rPr>
      </w:pPr>
    </w:p>
    <w:p w14:paraId="3FB89D6F" w14:textId="77777777" w:rsidR="00474801" w:rsidRPr="00D16A67" w:rsidRDefault="00474801">
      <w:pPr>
        <w:keepNext/>
        <w:spacing w:after="100" w:line="252" w:lineRule="auto"/>
        <w:rPr>
          <w:rFonts w:asciiTheme="majorHAnsi" w:hAnsiTheme="majorHAnsi" w:cstheme="majorHAnsi"/>
        </w:rPr>
      </w:pPr>
    </w:p>
    <w:tbl>
      <w:tblPr>
        <w:tblStyle w:val="ad"/>
        <w:tblW w:w="1068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tblGrid>
      <w:tr w:rsidR="00474801" w:rsidRPr="00D16A67" w14:paraId="4B60F5B0" w14:textId="77777777">
        <w:trPr>
          <w:trHeight w:val="60"/>
        </w:trPr>
        <w:tc>
          <w:tcPr>
            <w:tcW w:w="10682" w:type="dxa"/>
            <w:shd w:val="clear" w:color="auto" w:fill="003366"/>
          </w:tcPr>
          <w:p w14:paraId="287C80AB" w14:textId="77777777" w:rsidR="00474801" w:rsidRPr="00D16A67" w:rsidRDefault="00000000">
            <w:pPr>
              <w:pStyle w:val="Heading1"/>
              <w:rPr>
                <w:rFonts w:asciiTheme="majorHAnsi" w:hAnsiTheme="majorHAnsi" w:cstheme="majorHAnsi"/>
                <w:b w:val="0"/>
                <w:bCs w:val="0"/>
              </w:rPr>
            </w:pPr>
            <w:r w:rsidRPr="00D16A67">
              <w:rPr>
                <w:rFonts w:asciiTheme="majorHAnsi" w:hAnsiTheme="majorHAnsi" w:cstheme="majorHAnsi"/>
                <w:b w:val="0"/>
                <w:bCs w:val="0"/>
              </w:rPr>
              <w:t>Supporting Question 1</w:t>
            </w:r>
          </w:p>
        </w:tc>
      </w:tr>
    </w:tbl>
    <w:p w14:paraId="61BE4B69" w14:textId="77777777" w:rsidR="00474801" w:rsidRPr="00D16A67" w:rsidRDefault="00000000">
      <w:pPr>
        <w:spacing w:after="100" w:line="252" w:lineRule="auto"/>
        <w:rPr>
          <w:rFonts w:asciiTheme="majorHAnsi" w:hAnsiTheme="majorHAnsi" w:cstheme="majorHAnsi"/>
        </w:rPr>
      </w:pPr>
      <w:r w:rsidRPr="00D16A67">
        <w:rPr>
          <w:rFonts w:asciiTheme="majorHAnsi" w:hAnsiTheme="majorHAnsi" w:cstheme="majorHAnsi"/>
        </w:rPr>
        <w:t>The first supporting question - What opportunities did women have in wartime America? - focuses students on the new roles women assumed during World War II and on how those roles were presented to the public.</w:t>
      </w:r>
    </w:p>
    <w:p w14:paraId="5C5FD941" w14:textId="77777777" w:rsidR="00474801" w:rsidRPr="00D16A67" w:rsidRDefault="00000000">
      <w:pPr>
        <w:spacing w:after="40" w:line="235" w:lineRule="auto"/>
        <w:rPr>
          <w:rFonts w:asciiTheme="majorHAnsi" w:hAnsiTheme="majorHAnsi" w:cstheme="majorHAnsi"/>
        </w:rPr>
      </w:pPr>
      <w:r w:rsidRPr="00D16A67">
        <w:rPr>
          <w:rFonts w:asciiTheme="majorHAnsi" w:hAnsiTheme="majorHAnsi" w:cstheme="majorHAnsi"/>
        </w:rPr>
        <w:t>Students examine first-person accounts, videos, and recruitment materials, then complete an Evidence Map that records specific duties or opportunities, descriptive language in the sources, and the emotions recruiters tried to evoke. The task helps students distinguish between the opportunities women actually experienced and the persuasive messages used to encourage wartime participation.</w:t>
      </w:r>
    </w:p>
    <w:p w14:paraId="641E71D8" w14:textId="77777777" w:rsidR="00474801" w:rsidRPr="00D16A67" w:rsidRDefault="00000000">
      <w:pPr>
        <w:numPr>
          <w:ilvl w:val="0"/>
          <w:numId w:val="3"/>
        </w:numPr>
        <w:pBdr>
          <w:top w:val="nil"/>
          <w:left w:val="nil"/>
          <w:bottom w:val="nil"/>
          <w:right w:val="nil"/>
          <w:between w:val="nil"/>
        </w:pBdr>
        <w:spacing w:before="0" w:after="40" w:line="235" w:lineRule="auto"/>
        <w:rPr>
          <w:rFonts w:asciiTheme="majorHAnsi" w:hAnsiTheme="majorHAnsi" w:cstheme="majorHAnsi"/>
          <w:b/>
          <w:bCs/>
          <w:color w:val="000000"/>
        </w:rPr>
      </w:pPr>
      <w:r w:rsidRPr="00D16A67">
        <w:rPr>
          <w:rFonts w:asciiTheme="majorHAnsi" w:hAnsiTheme="majorHAnsi" w:cstheme="majorHAnsi"/>
        </w:rPr>
        <w:t>Featured sources include Cornelia Fort’s At the Twilight’s Last Gleaming; videos featuring Mildred Darlene Axton and Elaine Harmon; If Hitler Came to Mobile; U.S. Employment Service recruitment posters from 1944; and a Rosie the Riveter recruiting advertisement.</w:t>
      </w:r>
    </w:p>
    <w:p w14:paraId="1FEFD963" w14:textId="77777777" w:rsidR="00D16A67" w:rsidRPr="00D16A67" w:rsidRDefault="00D16A67" w:rsidP="00D16A67">
      <w:pPr>
        <w:pBdr>
          <w:top w:val="nil"/>
          <w:left w:val="nil"/>
          <w:bottom w:val="nil"/>
          <w:right w:val="nil"/>
          <w:between w:val="nil"/>
        </w:pBdr>
        <w:spacing w:before="0" w:after="40" w:line="235" w:lineRule="auto"/>
        <w:rPr>
          <w:rFonts w:asciiTheme="majorHAnsi" w:hAnsiTheme="majorHAnsi" w:cstheme="majorHAnsi"/>
          <w:b/>
          <w:bCs/>
          <w:color w:val="000000"/>
        </w:rPr>
      </w:pPr>
    </w:p>
    <w:p w14:paraId="7F02667F" w14:textId="77777777" w:rsidR="00474801" w:rsidRPr="00D16A67" w:rsidRDefault="00474801">
      <w:pPr>
        <w:keepNext/>
        <w:spacing w:before="0" w:after="100" w:line="252" w:lineRule="auto"/>
        <w:rPr>
          <w:rFonts w:asciiTheme="majorHAnsi" w:hAnsiTheme="majorHAnsi" w:cstheme="majorHAnsi"/>
        </w:rPr>
      </w:pPr>
    </w:p>
    <w:tbl>
      <w:tblPr>
        <w:tblStyle w:val="ae"/>
        <w:tblW w:w="1068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tblGrid>
      <w:tr w:rsidR="00474801" w:rsidRPr="00D16A67" w14:paraId="5092888A" w14:textId="77777777">
        <w:trPr>
          <w:trHeight w:val="60"/>
        </w:trPr>
        <w:tc>
          <w:tcPr>
            <w:tcW w:w="10682" w:type="dxa"/>
            <w:shd w:val="clear" w:color="auto" w:fill="003366"/>
          </w:tcPr>
          <w:p w14:paraId="1A232015" w14:textId="77777777" w:rsidR="00474801" w:rsidRPr="00D16A67" w:rsidRDefault="00000000">
            <w:pPr>
              <w:pStyle w:val="Heading1"/>
              <w:rPr>
                <w:rFonts w:asciiTheme="majorHAnsi" w:hAnsiTheme="majorHAnsi" w:cstheme="majorHAnsi"/>
                <w:b w:val="0"/>
                <w:bCs w:val="0"/>
              </w:rPr>
            </w:pPr>
            <w:r w:rsidRPr="00D16A67">
              <w:rPr>
                <w:rFonts w:asciiTheme="majorHAnsi" w:hAnsiTheme="majorHAnsi" w:cstheme="majorHAnsi"/>
                <w:b w:val="0"/>
                <w:bCs w:val="0"/>
              </w:rPr>
              <w:t>Supporting Question 2</w:t>
            </w:r>
          </w:p>
        </w:tc>
      </w:tr>
    </w:tbl>
    <w:p w14:paraId="208CF7D7" w14:textId="77777777" w:rsidR="00474801" w:rsidRPr="00D16A67" w:rsidRDefault="00000000">
      <w:pPr>
        <w:spacing w:after="40" w:line="235" w:lineRule="auto"/>
        <w:rPr>
          <w:rFonts w:asciiTheme="majorHAnsi" w:hAnsiTheme="majorHAnsi" w:cstheme="majorHAnsi"/>
        </w:rPr>
      </w:pPr>
      <w:r w:rsidRPr="00D16A67">
        <w:rPr>
          <w:rFonts w:asciiTheme="majorHAnsi" w:hAnsiTheme="majorHAnsi" w:cstheme="majorHAnsi"/>
        </w:rPr>
        <w:t>The second supporting question - What was the war's economic impact on American women? - asks students to weigh economic evidence rather than assume that increased employment automatically meant lasting economic progress.</w:t>
      </w:r>
    </w:p>
    <w:p w14:paraId="5B0CC78C" w14:textId="77777777" w:rsidR="00474801" w:rsidRPr="00D16A67" w:rsidRDefault="00000000">
      <w:pPr>
        <w:spacing w:after="40" w:line="235" w:lineRule="auto"/>
        <w:rPr>
          <w:rFonts w:asciiTheme="majorHAnsi" w:hAnsiTheme="majorHAnsi" w:cstheme="majorHAnsi"/>
        </w:rPr>
      </w:pPr>
      <w:r w:rsidRPr="00D16A67">
        <w:rPr>
          <w:rFonts w:asciiTheme="majorHAnsi" w:hAnsiTheme="majorHAnsi" w:cstheme="majorHAnsi"/>
        </w:rPr>
        <w:t>Students use the featured sources to create a T-chart that identifies economic benefits and economic costs or limits. In doing so, they consider the rise of women’s employment alongside broader wartime spending, sacrifice, and the temporary nature of some wartime opportunities.</w:t>
      </w:r>
    </w:p>
    <w:p w14:paraId="14503AE6" w14:textId="77777777" w:rsidR="00474801" w:rsidRPr="00D16A67" w:rsidRDefault="00000000">
      <w:pPr>
        <w:numPr>
          <w:ilvl w:val="0"/>
          <w:numId w:val="3"/>
        </w:numPr>
        <w:pBdr>
          <w:top w:val="nil"/>
          <w:left w:val="nil"/>
          <w:bottom w:val="nil"/>
          <w:right w:val="nil"/>
          <w:between w:val="nil"/>
        </w:pBdr>
        <w:spacing w:before="0" w:after="40" w:line="235" w:lineRule="auto"/>
        <w:rPr>
          <w:rFonts w:asciiTheme="majorHAnsi" w:hAnsiTheme="majorHAnsi" w:cstheme="majorHAnsi"/>
          <w:b/>
          <w:bCs/>
          <w:color w:val="000000"/>
        </w:rPr>
      </w:pPr>
      <w:r w:rsidRPr="00D16A67">
        <w:rPr>
          <w:rFonts w:asciiTheme="majorHAnsi" w:hAnsiTheme="majorHAnsi" w:cstheme="majorHAnsi"/>
        </w:rPr>
        <w:t>Featured sources include Women and WWII: The Lasting Societal Shift; The Role of World War II in the Rise of Women’s Employment; and World War II in America: Spending, Deficits, Multipliers, and Sacrifice.</w:t>
      </w:r>
    </w:p>
    <w:p w14:paraId="203005B9" w14:textId="77777777" w:rsidR="00D16A67" w:rsidRDefault="00D16A67" w:rsidP="00D16A67">
      <w:pPr>
        <w:pBdr>
          <w:top w:val="nil"/>
          <w:left w:val="nil"/>
          <w:bottom w:val="nil"/>
          <w:right w:val="nil"/>
          <w:between w:val="nil"/>
        </w:pBdr>
        <w:spacing w:before="0" w:after="40" w:line="235" w:lineRule="auto"/>
        <w:rPr>
          <w:rFonts w:asciiTheme="majorHAnsi" w:hAnsiTheme="majorHAnsi" w:cstheme="majorHAnsi"/>
        </w:rPr>
      </w:pPr>
    </w:p>
    <w:p w14:paraId="71CC7FFF" w14:textId="77777777" w:rsidR="00D16A67" w:rsidRPr="00D16A67" w:rsidRDefault="00D16A67" w:rsidP="00D16A67">
      <w:pPr>
        <w:pBdr>
          <w:top w:val="nil"/>
          <w:left w:val="nil"/>
          <w:bottom w:val="nil"/>
          <w:right w:val="nil"/>
          <w:between w:val="nil"/>
        </w:pBdr>
        <w:spacing w:before="0" w:after="40" w:line="235" w:lineRule="auto"/>
        <w:rPr>
          <w:rFonts w:asciiTheme="majorHAnsi" w:hAnsiTheme="majorHAnsi" w:cstheme="majorHAnsi"/>
          <w:b/>
          <w:bCs/>
          <w:color w:val="000000"/>
        </w:rPr>
      </w:pPr>
    </w:p>
    <w:p w14:paraId="64F058C1" w14:textId="77777777" w:rsidR="00474801" w:rsidRPr="00D16A67" w:rsidRDefault="00474801">
      <w:pPr>
        <w:keepNext/>
        <w:spacing w:before="0" w:after="100" w:line="252" w:lineRule="auto"/>
        <w:rPr>
          <w:rFonts w:asciiTheme="majorHAnsi" w:hAnsiTheme="majorHAnsi" w:cstheme="majorHAnsi"/>
        </w:rPr>
      </w:pPr>
    </w:p>
    <w:p w14:paraId="6123EEA6" w14:textId="77777777" w:rsidR="00D16A67" w:rsidRDefault="00D16A67">
      <w:r>
        <w:rPr>
          <w:b/>
          <w:bCs/>
        </w:rPr>
        <w:br w:type="page"/>
      </w:r>
    </w:p>
    <w:tbl>
      <w:tblPr>
        <w:tblStyle w:val="af"/>
        <w:tblW w:w="1068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tblGrid>
      <w:tr w:rsidR="00474801" w:rsidRPr="00D16A67" w14:paraId="06406BB4" w14:textId="77777777">
        <w:trPr>
          <w:trHeight w:val="60"/>
        </w:trPr>
        <w:tc>
          <w:tcPr>
            <w:tcW w:w="10682" w:type="dxa"/>
            <w:shd w:val="clear" w:color="auto" w:fill="003366"/>
          </w:tcPr>
          <w:p w14:paraId="7389BDBA" w14:textId="1BDF509A" w:rsidR="00474801" w:rsidRPr="00D16A67" w:rsidRDefault="00000000">
            <w:pPr>
              <w:pStyle w:val="Heading1"/>
              <w:rPr>
                <w:rFonts w:asciiTheme="majorHAnsi" w:hAnsiTheme="majorHAnsi" w:cstheme="majorHAnsi"/>
                <w:b w:val="0"/>
                <w:bCs w:val="0"/>
              </w:rPr>
            </w:pPr>
            <w:r w:rsidRPr="00D16A67">
              <w:rPr>
                <w:rFonts w:asciiTheme="majorHAnsi" w:hAnsiTheme="majorHAnsi" w:cstheme="majorHAnsi"/>
                <w:b w:val="0"/>
                <w:bCs w:val="0"/>
              </w:rPr>
              <w:lastRenderedPageBreak/>
              <w:t>Supporting Question 3</w:t>
            </w:r>
          </w:p>
        </w:tc>
      </w:tr>
    </w:tbl>
    <w:p w14:paraId="707097DA" w14:textId="77777777" w:rsidR="00474801" w:rsidRPr="00D16A67" w:rsidRDefault="00000000">
      <w:pPr>
        <w:spacing w:after="40" w:line="235" w:lineRule="auto"/>
        <w:rPr>
          <w:rFonts w:asciiTheme="majorHAnsi" w:hAnsiTheme="majorHAnsi" w:cstheme="majorHAnsi"/>
        </w:rPr>
      </w:pPr>
      <w:r w:rsidRPr="00D16A67">
        <w:rPr>
          <w:rFonts w:asciiTheme="majorHAnsi" w:hAnsiTheme="majorHAnsi" w:cstheme="majorHAnsi"/>
        </w:rPr>
        <w:t>The third supporting question - How did wartime changes continue to shape women’s lives after World War II? - shifts the inquiry from immediate wartime experience to longer-term policy and recognition.</w:t>
      </w:r>
    </w:p>
    <w:p w14:paraId="2A7E80A1" w14:textId="77777777" w:rsidR="00474801" w:rsidRPr="00D16A67" w:rsidRDefault="00000000">
      <w:pPr>
        <w:spacing w:after="40" w:line="235" w:lineRule="auto"/>
        <w:rPr>
          <w:rFonts w:asciiTheme="majorHAnsi" w:hAnsiTheme="majorHAnsi" w:cstheme="majorHAnsi"/>
        </w:rPr>
      </w:pPr>
      <w:r w:rsidRPr="00D16A67">
        <w:rPr>
          <w:rFonts w:asciiTheme="majorHAnsi" w:hAnsiTheme="majorHAnsi" w:cstheme="majorHAnsi"/>
        </w:rPr>
        <w:t>Students read legislative excerpts and complete a Policy Pathway Chart. For each source, they summarize what the law or policy did, identify the problem it addressed, and explain why the change was needed. This work helps students see that wartime participation did not erase discrimination and that later policy changes were often necessary to secure recognition, status, benefits, or support.</w:t>
      </w:r>
    </w:p>
    <w:p w14:paraId="521972AF" w14:textId="77777777" w:rsidR="00474801" w:rsidRPr="00D16A67" w:rsidRDefault="00000000">
      <w:pPr>
        <w:numPr>
          <w:ilvl w:val="0"/>
          <w:numId w:val="3"/>
        </w:numPr>
        <w:pBdr>
          <w:top w:val="nil"/>
          <w:left w:val="nil"/>
          <w:bottom w:val="nil"/>
          <w:right w:val="nil"/>
          <w:between w:val="nil"/>
        </w:pBdr>
        <w:spacing w:before="0" w:after="40" w:line="235" w:lineRule="auto"/>
        <w:rPr>
          <w:rFonts w:asciiTheme="majorHAnsi" w:hAnsiTheme="majorHAnsi" w:cstheme="majorHAnsi"/>
          <w:b/>
          <w:bCs/>
          <w:color w:val="000000"/>
        </w:rPr>
      </w:pPr>
      <w:r w:rsidRPr="00D16A67">
        <w:rPr>
          <w:rFonts w:asciiTheme="majorHAnsi" w:hAnsiTheme="majorHAnsi" w:cstheme="majorHAnsi"/>
        </w:rPr>
        <w:t>Featured sources include the G.I. Bill Improvement Act of 1977 (Public Law 95-202), the Women’s Armed Services Integration Act, and the Lanham Act childcare amendments of 1943.</w:t>
      </w:r>
    </w:p>
    <w:p w14:paraId="6FDBA6C6" w14:textId="77777777" w:rsidR="00D16A67" w:rsidRDefault="00D16A67" w:rsidP="00D16A67">
      <w:pPr>
        <w:pBdr>
          <w:top w:val="nil"/>
          <w:left w:val="nil"/>
          <w:bottom w:val="nil"/>
          <w:right w:val="nil"/>
          <w:between w:val="nil"/>
        </w:pBdr>
        <w:spacing w:before="0" w:after="40" w:line="235" w:lineRule="auto"/>
        <w:rPr>
          <w:rFonts w:asciiTheme="majorHAnsi" w:hAnsiTheme="majorHAnsi" w:cstheme="majorHAnsi"/>
        </w:rPr>
      </w:pPr>
    </w:p>
    <w:p w14:paraId="24886E43" w14:textId="77777777" w:rsidR="00D16A67" w:rsidRPr="00D16A67" w:rsidRDefault="00D16A67" w:rsidP="00D16A67">
      <w:pPr>
        <w:pBdr>
          <w:top w:val="nil"/>
          <w:left w:val="nil"/>
          <w:bottom w:val="nil"/>
          <w:right w:val="nil"/>
          <w:between w:val="nil"/>
        </w:pBdr>
        <w:spacing w:before="0" w:after="40" w:line="235" w:lineRule="auto"/>
        <w:rPr>
          <w:rFonts w:asciiTheme="majorHAnsi" w:hAnsiTheme="majorHAnsi" w:cstheme="majorHAnsi"/>
          <w:b/>
          <w:bCs/>
          <w:color w:val="000000"/>
        </w:rPr>
      </w:pPr>
    </w:p>
    <w:p w14:paraId="35518761" w14:textId="77777777" w:rsidR="00474801" w:rsidRPr="00D16A67" w:rsidRDefault="00474801">
      <w:pPr>
        <w:keepNext/>
        <w:spacing w:before="0" w:after="60" w:line="240" w:lineRule="auto"/>
        <w:rPr>
          <w:rFonts w:asciiTheme="majorHAnsi" w:hAnsiTheme="majorHAnsi" w:cstheme="majorHAnsi"/>
        </w:rPr>
      </w:pPr>
    </w:p>
    <w:tbl>
      <w:tblPr>
        <w:tblStyle w:val="af0"/>
        <w:tblW w:w="1068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tblGrid>
      <w:tr w:rsidR="00474801" w:rsidRPr="00D16A67" w14:paraId="4B124A8F" w14:textId="77777777">
        <w:trPr>
          <w:trHeight w:val="60"/>
        </w:trPr>
        <w:tc>
          <w:tcPr>
            <w:tcW w:w="10682" w:type="dxa"/>
            <w:shd w:val="clear" w:color="auto" w:fill="003366"/>
          </w:tcPr>
          <w:p w14:paraId="13C36BFB" w14:textId="77777777" w:rsidR="00474801" w:rsidRPr="00D16A67" w:rsidRDefault="00000000">
            <w:pPr>
              <w:pStyle w:val="Heading1"/>
              <w:rPr>
                <w:rFonts w:asciiTheme="majorHAnsi" w:hAnsiTheme="majorHAnsi" w:cstheme="majorHAnsi"/>
                <w:b w:val="0"/>
                <w:bCs w:val="0"/>
              </w:rPr>
            </w:pPr>
            <w:r w:rsidRPr="00D16A67">
              <w:rPr>
                <w:rFonts w:asciiTheme="majorHAnsi" w:hAnsiTheme="majorHAnsi" w:cstheme="majorHAnsi"/>
                <w:b w:val="0"/>
                <w:bCs w:val="0"/>
              </w:rPr>
              <w:t>Summative Performance Task</w:t>
            </w:r>
          </w:p>
        </w:tc>
      </w:tr>
    </w:tbl>
    <w:p w14:paraId="17C329A4" w14:textId="77777777" w:rsidR="00474801" w:rsidRPr="00D16A67" w:rsidRDefault="00000000" w:rsidP="00D16A67">
      <w:pPr>
        <w:tabs>
          <w:tab w:val="left" w:pos="7470"/>
        </w:tabs>
        <w:spacing w:after="40" w:line="235" w:lineRule="auto"/>
        <w:rPr>
          <w:rFonts w:asciiTheme="majorHAnsi" w:hAnsiTheme="majorHAnsi" w:cstheme="majorHAnsi"/>
        </w:rPr>
      </w:pPr>
      <w:r w:rsidRPr="00D16A67">
        <w:rPr>
          <w:rFonts w:asciiTheme="majorHAnsi" w:hAnsiTheme="majorHAnsi" w:cstheme="majorHAnsi"/>
        </w:rPr>
        <w:t>At this point in the inquiry, students have examined wartime opportunity, economic change, and the longer-term policy consequences of women’s World War II experiences.</w:t>
      </w:r>
    </w:p>
    <w:p w14:paraId="35213C50" w14:textId="77777777" w:rsidR="00474801" w:rsidRPr="00D16A67" w:rsidRDefault="00000000" w:rsidP="00D16A67">
      <w:pPr>
        <w:tabs>
          <w:tab w:val="left" w:pos="7470"/>
        </w:tabs>
        <w:spacing w:after="40" w:line="235" w:lineRule="auto"/>
        <w:rPr>
          <w:rFonts w:asciiTheme="majorHAnsi" w:hAnsiTheme="majorHAnsi" w:cstheme="majorHAnsi"/>
        </w:rPr>
      </w:pPr>
      <w:r w:rsidRPr="00D16A67">
        <w:rPr>
          <w:rFonts w:asciiTheme="majorHAnsi" w:hAnsiTheme="majorHAnsi" w:cstheme="majorHAnsi"/>
        </w:rPr>
        <w:t>Students should use evidence from multiple sources to construct an argument answering the compelling question, "Is War Good for Women?" The final product may take the form of an outline, poster, essay, or podcast. Regardless of format, students should make a defensible claim, support it with specific evidence, and acknowledge a competing or qualifying viewpoint.</w:t>
      </w:r>
    </w:p>
    <w:p w14:paraId="5713AAB1" w14:textId="77777777" w:rsidR="00474801" w:rsidRPr="00D16A67" w:rsidRDefault="00000000" w:rsidP="00D16A67">
      <w:pPr>
        <w:tabs>
          <w:tab w:val="left" w:pos="7470"/>
        </w:tabs>
        <w:spacing w:before="0" w:after="20" w:line="235" w:lineRule="auto"/>
        <w:rPr>
          <w:rFonts w:asciiTheme="majorHAnsi" w:hAnsiTheme="majorHAnsi" w:cstheme="majorHAnsi"/>
        </w:rPr>
      </w:pPr>
      <w:r w:rsidRPr="00D16A67">
        <w:rPr>
          <w:rFonts w:asciiTheme="majorHAnsi" w:hAnsiTheme="majorHAnsi" w:cstheme="majorHAnsi"/>
        </w:rPr>
        <w:t>Possible arguments include:</w:t>
      </w:r>
    </w:p>
    <w:p w14:paraId="28883C24" w14:textId="77777777" w:rsidR="00474801" w:rsidRPr="00D16A67" w:rsidRDefault="00474801" w:rsidP="00D16A67">
      <w:pPr>
        <w:tabs>
          <w:tab w:val="left" w:pos="7470"/>
        </w:tabs>
        <w:spacing w:before="0" w:after="60" w:line="240" w:lineRule="auto"/>
        <w:rPr>
          <w:rFonts w:asciiTheme="majorHAnsi" w:hAnsiTheme="majorHAnsi" w:cstheme="majorHAnsi"/>
        </w:rPr>
      </w:pPr>
    </w:p>
    <w:p w14:paraId="0D7803E1" w14:textId="77777777" w:rsidR="00474801" w:rsidRPr="00D16A67" w:rsidRDefault="00000000" w:rsidP="00D16A67">
      <w:pPr>
        <w:numPr>
          <w:ilvl w:val="0"/>
          <w:numId w:val="2"/>
        </w:numPr>
        <w:tabs>
          <w:tab w:val="left" w:pos="7470"/>
        </w:tabs>
        <w:spacing w:before="0" w:after="40" w:line="235" w:lineRule="auto"/>
        <w:ind w:hanging="360"/>
        <w:rPr>
          <w:rFonts w:asciiTheme="majorHAnsi" w:hAnsiTheme="majorHAnsi" w:cstheme="majorHAnsi"/>
          <w:i/>
          <w:iCs/>
        </w:rPr>
      </w:pPr>
      <w:r w:rsidRPr="00D16A67">
        <w:rPr>
          <w:rFonts w:asciiTheme="majorHAnsi" w:hAnsiTheme="majorHAnsi" w:cstheme="majorHAnsi"/>
        </w:rPr>
        <w:t>World War II expanded opportunities for women, but the gains were uneven and often limited; war cannot be considered "good" for women simply because it created opportunities within a larger context of loss, discrimination, and pressure; or World War II accelerated social and economic change for women while revealing how much inequality remained.</w:t>
      </w:r>
    </w:p>
    <w:p w14:paraId="50397733" w14:textId="77777777" w:rsidR="00474801" w:rsidRPr="00D16A67" w:rsidRDefault="00000000" w:rsidP="00D16A67">
      <w:pPr>
        <w:tabs>
          <w:tab w:val="left" w:pos="7470"/>
        </w:tabs>
        <w:spacing w:after="40" w:line="235" w:lineRule="auto"/>
        <w:rPr>
          <w:rFonts w:asciiTheme="majorHAnsi" w:hAnsiTheme="majorHAnsi" w:cstheme="majorHAnsi"/>
        </w:rPr>
      </w:pPr>
      <w:r w:rsidRPr="00D16A67">
        <w:rPr>
          <w:rFonts w:asciiTheme="majorHAnsi" w:hAnsiTheme="majorHAnsi" w:cstheme="majorHAnsi"/>
        </w:rPr>
        <w:t>To extend their arguments, students can research a more recent conflict and compare the ways war has opened opportunities for women, intensified hardships, or done both.</w:t>
      </w:r>
    </w:p>
    <w:p w14:paraId="479EBCAA" w14:textId="77777777" w:rsidR="00474801" w:rsidRPr="00D16A67" w:rsidRDefault="00000000" w:rsidP="00D16A67">
      <w:pPr>
        <w:tabs>
          <w:tab w:val="left" w:pos="7470"/>
        </w:tabs>
        <w:spacing w:after="0" w:line="235" w:lineRule="auto"/>
        <w:rPr>
          <w:rFonts w:asciiTheme="majorHAnsi" w:hAnsiTheme="majorHAnsi" w:cstheme="majorHAnsi"/>
        </w:rPr>
        <w:sectPr w:rsidR="00474801" w:rsidRPr="00D16A67">
          <w:type w:val="continuous"/>
          <w:pgSz w:w="12240" w:h="15840"/>
          <w:pgMar w:top="720" w:right="720" w:bottom="720" w:left="720" w:header="432" w:footer="432" w:gutter="0"/>
          <w:cols w:space="720"/>
        </w:sectPr>
      </w:pPr>
      <w:r w:rsidRPr="00D16A67">
        <w:rPr>
          <w:rFonts w:asciiTheme="majorHAnsi" w:hAnsiTheme="majorHAnsi" w:cstheme="majorHAnsi"/>
        </w:rPr>
        <w:t>Students can Take Informed Action by identifying an organization that supports women affected by war, assessing its mission and needs, and acting through informational materials, a donation drive or awareness event, or an interview with a representative.</w:t>
      </w:r>
    </w:p>
    <w:p w14:paraId="2FB89722" w14:textId="77777777" w:rsidR="00474801" w:rsidRPr="00D16A67" w:rsidRDefault="00474801">
      <w:pPr>
        <w:spacing w:before="0" w:after="100" w:line="252" w:lineRule="auto"/>
        <w:rPr>
          <w:rFonts w:asciiTheme="majorHAnsi" w:hAnsiTheme="majorHAnsi" w:cstheme="majorHAnsi"/>
        </w:rPr>
      </w:pPr>
    </w:p>
    <w:sectPr w:rsidR="00474801" w:rsidRPr="00D16A67">
      <w:type w:val="continuous"/>
      <w:pgSz w:w="12240" w:h="15840"/>
      <w:pgMar w:top="720" w:right="720" w:bottom="720"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FE60AD" w14:textId="77777777" w:rsidR="00664813" w:rsidRDefault="00664813">
      <w:pPr>
        <w:spacing w:before="0" w:after="0" w:line="240" w:lineRule="auto"/>
      </w:pPr>
      <w:r>
        <w:separator/>
      </w:r>
    </w:p>
  </w:endnote>
  <w:endnote w:type="continuationSeparator" w:id="0">
    <w:p w14:paraId="1D470428" w14:textId="77777777" w:rsidR="00664813" w:rsidRDefault="006648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EAA4E1E6-8700-1548-A2F7-606E1EAC18D6}"/>
  </w:font>
  <w:font w:name="Courier New">
    <w:panose1 w:val="02070309020205020404"/>
    <w:charset w:val="00"/>
    <w:family w:val="modern"/>
    <w:pitch w:val="fixed"/>
    <w:sig w:usb0="E0002AFF" w:usb1="C0007843" w:usb2="00000009" w:usb3="00000000" w:csb0="000001FF" w:csb1="00000000"/>
    <w:embedRegular r:id="rId2" w:fontKey="{3B7AB478-BF85-E443-BB15-F12726980271}"/>
  </w:font>
  <w:font w:name="Arial">
    <w:panose1 w:val="020B0604020202020204"/>
    <w:charset w:val="00"/>
    <w:family w:val="swiss"/>
    <w:pitch w:val="variable"/>
    <w:sig w:usb0="E0002AFF" w:usb1="C0007843" w:usb2="00000009" w:usb3="00000000" w:csb0="000001FF" w:csb1="00000000"/>
    <w:embedRegular r:id="rId3" w:fontKey="{CF2EF5E7-F992-AC42-B14B-768C3FD77994}"/>
    <w:embedBold r:id="rId4" w:fontKey="{CBDEC4E1-83F0-3C4D-9BCA-11FBEA4A1004}"/>
  </w:font>
  <w:font w:name="Calibri">
    <w:panose1 w:val="020F0502020204030204"/>
    <w:charset w:val="00"/>
    <w:family w:val="swiss"/>
    <w:pitch w:val="variable"/>
    <w:sig w:usb0="E0002AFF" w:usb1="C000247B" w:usb2="00000009" w:usb3="00000000" w:csb0="000001FF" w:csb1="00000000"/>
    <w:embedRegular r:id="rId5" w:fontKey="{3DF462BD-E42F-1542-9F80-8C0EABA6A19B}"/>
    <w:embedBold r:id="rId6" w:fontKey="{E3FE25FA-A002-FE40-8964-F2C24C97FCC1}"/>
    <w:embedItalic r:id="rId7" w:fontKey="{4F140C9D-AB5A-A148-B10E-C279CAA7306F}"/>
    <w:embedBoldItalic r:id="rId8" w:fontKey="{F5E1FBEF-A4AD-8D4E-A4DD-E05F3D2AAFE6}"/>
  </w:font>
  <w:font w:name="Cambria">
    <w:panose1 w:val="02040503050406030204"/>
    <w:charset w:val="00"/>
    <w:family w:val="roman"/>
    <w:pitch w:val="variable"/>
    <w:sig w:usb0="E00002FF" w:usb1="400004FF" w:usb2="00000000" w:usb3="00000000" w:csb0="0000019F" w:csb1="00000000"/>
    <w:embedRegular r:id="rId9" w:fontKey="{32A00F80-5ADA-A54F-83C8-25152D68A25E}"/>
    <w:embedBold r:id="rId10" w:fontKey="{CC994D68-D70F-3E46-A927-1C82BBB57455}"/>
    <w:embedItalic r:id="rId11" w:fontKey="{4C305CAB-3A0D-A54D-ACF6-28D59FA841B2}"/>
    <w:embedBoldItalic r:id="rId12" w:fontKey="{D578CC6E-52DC-0043-9B1D-978065D04BFF}"/>
  </w:font>
  <w:font w:name="Times New Roman">
    <w:panose1 w:val="02020603050405020304"/>
    <w:charset w:val="00"/>
    <w:family w:val="roman"/>
    <w:pitch w:val="variable"/>
    <w:sig w:usb0="E0002EFF" w:usb1="C000785B" w:usb2="00000009" w:usb3="00000000" w:csb0="000001FF" w:csb1="00000000"/>
    <w:embedRegular r:id="rId13" w:fontKey="{7DBB0E30-DCF7-1945-9E33-0A12494E8E29}"/>
    <w:embedBold r:id="rId14" w:fontKey="{E3CA8146-D055-944D-BFE1-A17F88D03472}"/>
    <w:embedBoldItalic r:id="rId15" w:fontKey="{A426D367-9EDF-2940-99C3-3D41A4D1D67C}"/>
  </w:font>
  <w:font w:name="Georgia">
    <w:panose1 w:val="02040502050405020303"/>
    <w:charset w:val="00"/>
    <w:family w:val="roman"/>
    <w:pitch w:val="variable"/>
    <w:sig w:usb0="00000287" w:usb1="00000000" w:usb2="00000000" w:usb3="00000000" w:csb0="0000009F" w:csb1="00000000"/>
    <w:embedItalic r:id="rId16" w:fontKey="{19FA30C1-1ECA-F24A-82D7-22F8217023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ADF40" w14:textId="77777777" w:rsidR="00474801" w:rsidRDefault="00474801">
    <w:pPr>
      <w:pBdr>
        <w:top w:val="nil"/>
        <w:left w:val="nil"/>
        <w:bottom w:val="nil"/>
        <w:right w:val="nil"/>
        <w:between w:val="nil"/>
      </w:pBdr>
      <w:tabs>
        <w:tab w:val="center" w:pos="4680"/>
        <w:tab w:val="right" w:pos="9360"/>
      </w:tabs>
      <w:spacing w:before="0"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99FD7" w14:textId="77777777" w:rsidR="00474801" w:rsidRDefault="00000000">
    <w:pPr>
      <w:keepLines/>
      <w:widowControl/>
      <w:pBdr>
        <w:top w:val="nil"/>
        <w:left w:val="nil"/>
        <w:bottom w:val="nil"/>
        <w:right w:val="nil"/>
        <w:between w:val="nil"/>
      </w:pBdr>
      <w:spacing w:before="0" w:after="40" w:line="240" w:lineRule="auto"/>
      <w:rPr>
        <w:rFonts w:ascii="Calibri" w:eastAsia="Calibri" w:hAnsi="Calibri" w:cs="Calibri"/>
        <w:smallCaps/>
        <w:color w:val="000000"/>
        <w:sz w:val="16"/>
        <w:szCs w:val="16"/>
      </w:rPr>
    </w:pPr>
    <w:r>
      <w:rPr>
        <w:rFonts w:ascii="Calibri" w:eastAsia="Calibri" w:hAnsi="Calibri" w:cs="Calibri"/>
        <w:smallCaps/>
        <w:noProof/>
        <w:color w:val="000000"/>
        <w:sz w:val="16"/>
        <w:szCs w:val="16"/>
      </w:rPr>
      <w:drawing>
        <wp:inline distT="0" distB="0" distL="0" distR="0" wp14:anchorId="556B3C10" wp14:editId="0DEC17A5">
          <wp:extent cx="1046074" cy="186538"/>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1046074" cy="186538"/>
                  </a:xfrm>
                  <a:prstGeom prst="rect">
                    <a:avLst/>
                  </a:prstGeom>
                  <a:ln/>
                </pic:spPr>
              </pic:pic>
            </a:graphicData>
          </a:graphic>
        </wp:inline>
      </w:drawing>
    </w:r>
    <w:r>
      <w:rPr>
        <w:rFonts w:ascii="Calibri" w:eastAsia="Calibri" w:hAnsi="Calibri" w:cs="Calibri"/>
        <w:smallCaps/>
        <w:color w:val="000000"/>
        <w:sz w:val="16"/>
        <w:szCs w:val="16"/>
      </w:rPr>
      <w:tab/>
    </w:r>
    <w:r>
      <w:rPr>
        <w:rFonts w:ascii="Calibri" w:eastAsia="Calibri" w:hAnsi="Calibri" w:cs="Calibri"/>
        <w:smallCaps/>
        <w:color w:val="000000"/>
        <w:sz w:val="16"/>
        <w:szCs w:val="16"/>
      </w:rPr>
      <w:tab/>
    </w:r>
    <w:r>
      <w:rPr>
        <w:rFonts w:ascii="Calibri" w:eastAsia="Calibri" w:hAnsi="Calibri" w:cs="Calibri"/>
        <w:smallCaps/>
        <w:color w:val="000000"/>
        <w:sz w:val="16"/>
        <w:szCs w:val="16"/>
      </w:rPr>
      <w:tab/>
      <w:t xml:space="preserve">       </w:t>
    </w:r>
    <w:r>
      <w:rPr>
        <w:rFonts w:ascii="Calibri" w:eastAsia="Calibri" w:hAnsi="Calibri" w:cs="Calibri"/>
        <w:smallCaps/>
        <w:noProof/>
        <w:color w:val="000000"/>
        <w:sz w:val="16"/>
        <w:szCs w:val="16"/>
      </w:rPr>
      <w:drawing>
        <wp:inline distT="0" distB="0" distL="0" distR="0" wp14:anchorId="3553C2A6" wp14:editId="695F2C80">
          <wp:extent cx="2092147" cy="219456"/>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92147" cy="219456"/>
                  </a:xfrm>
                  <a:prstGeom prst="rect">
                    <a:avLst/>
                  </a:prstGeom>
                  <a:ln/>
                </pic:spPr>
              </pic:pic>
            </a:graphicData>
          </a:graphic>
        </wp:inline>
      </w:drawing>
    </w:r>
    <w:r>
      <w:rPr>
        <w:rFonts w:ascii="Calibri" w:eastAsia="Calibri" w:hAnsi="Calibri" w:cs="Calibri"/>
        <w:smallCaps/>
        <w:color w:val="000000"/>
        <w:sz w:val="16"/>
        <w:szCs w:val="16"/>
      </w:rPr>
      <w:tab/>
    </w:r>
    <w:r>
      <w:rPr>
        <w:rFonts w:ascii="Calibri" w:eastAsia="Calibri" w:hAnsi="Calibri" w:cs="Calibri"/>
        <w:smallCaps/>
        <w:color w:val="000000"/>
        <w:sz w:val="16"/>
        <w:szCs w:val="16"/>
      </w:rPr>
      <w:tab/>
      <w:t xml:space="preserve">            </w:t>
    </w:r>
    <w:r>
      <w:rPr>
        <w:rFonts w:ascii="Calibri" w:eastAsia="Calibri" w:hAnsi="Calibri" w:cs="Calibri"/>
        <w:smallCaps/>
        <w:noProof/>
        <w:color w:val="000000"/>
        <w:sz w:val="16"/>
        <w:szCs w:val="16"/>
      </w:rPr>
      <w:drawing>
        <wp:inline distT="0" distB="0" distL="0" distR="0" wp14:anchorId="033B0E4F" wp14:editId="0BA09E15">
          <wp:extent cx="838200" cy="295275"/>
          <wp:effectExtent l="0" t="0" r="0" b="0"/>
          <wp:docPr id="5"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3"/>
                  <a:srcRect/>
                  <a:stretch>
                    <a:fillRect/>
                  </a:stretch>
                </pic:blipFill>
                <pic:spPr>
                  <a:xfrm>
                    <a:off x="0" y="0"/>
                    <a:ext cx="838200" cy="295275"/>
                  </a:xfrm>
                  <a:prstGeom prst="rect">
                    <a:avLst/>
                  </a:prstGeom>
                  <a:ln/>
                </pic:spPr>
              </pic:pic>
            </a:graphicData>
          </a:graphic>
        </wp:inline>
      </w:drawing>
    </w:r>
  </w:p>
  <w:p w14:paraId="7985D22B" w14:textId="77777777" w:rsidR="00474801" w:rsidRDefault="00000000">
    <w:pPr>
      <w:keepLines/>
      <w:widowControl/>
      <w:pBdr>
        <w:top w:val="nil"/>
        <w:left w:val="nil"/>
        <w:bottom w:val="nil"/>
        <w:right w:val="nil"/>
        <w:between w:val="nil"/>
      </w:pBdr>
      <w:tabs>
        <w:tab w:val="center" w:pos="5040"/>
      </w:tabs>
      <w:spacing w:before="120" w:after="0" w:line="240" w:lineRule="auto"/>
      <w:rPr>
        <w:rFonts w:ascii="Calibri" w:eastAsia="Calibri" w:hAnsi="Calibri" w:cs="Calibri"/>
        <w:smallCaps/>
        <w:color w:val="808080"/>
        <w:sz w:val="16"/>
        <w:szCs w:val="16"/>
      </w:rPr>
    </w:pPr>
    <w:r>
      <w:rPr>
        <w:rFonts w:ascii="Calibri" w:eastAsia="Calibri" w:hAnsi="Calibri" w:cs="Calibri"/>
        <w:smallCaps/>
        <w:color w:val="808080"/>
        <w:sz w:val="16"/>
        <w:szCs w:val="16"/>
      </w:rPr>
      <w:t>This work is licensed under a Creative Commons Attribution-NonCommercial-ShareAlike 4.0 International License.</w:t>
    </w:r>
    <w:r>
      <w:rPr>
        <w:rFonts w:ascii="Calibri" w:eastAsia="Calibri" w:hAnsi="Calibri" w:cs="Calibri"/>
        <w:smallCaps/>
        <w:color w:val="808080"/>
        <w:sz w:val="16"/>
        <w:szCs w:val="16"/>
      </w:rPr>
      <w:tab/>
    </w:r>
    <w:r>
      <w:rPr>
        <w:rFonts w:ascii="Calibri" w:eastAsia="Calibri" w:hAnsi="Calibri" w:cs="Calibri"/>
        <w:smallCaps/>
        <w:color w:val="808080"/>
        <w:sz w:val="16"/>
        <w:szCs w:val="16"/>
      </w:rPr>
      <w:tab/>
    </w:r>
    <w:r>
      <w:rPr>
        <w:rFonts w:ascii="Calibri" w:eastAsia="Calibri" w:hAnsi="Calibri" w:cs="Calibri"/>
        <w:smallCaps/>
        <w:color w:val="808080"/>
        <w:sz w:val="16"/>
        <w:szCs w:val="16"/>
      </w:rPr>
      <w:tab/>
    </w:r>
    <w:r>
      <w:rPr>
        <w:rFonts w:ascii="Calibri" w:eastAsia="Calibri" w:hAnsi="Calibri" w:cs="Calibri"/>
        <w:smallCaps/>
        <w:color w:val="808080"/>
        <w:sz w:val="16"/>
        <w:szCs w:val="16"/>
      </w:rPr>
      <w:tab/>
    </w:r>
    <w:r>
      <w:rPr>
        <w:rFonts w:ascii="Calibri" w:eastAsia="Calibri" w:hAnsi="Calibri" w:cs="Calibri"/>
        <w:smallCaps/>
        <w:color w:val="808080"/>
        <w:sz w:val="16"/>
        <w:szCs w:val="16"/>
      </w:rPr>
      <w:tab/>
    </w:r>
    <w:r>
      <w:rPr>
        <w:rFonts w:ascii="Calibri" w:eastAsia="Calibri" w:hAnsi="Calibri" w:cs="Calibri"/>
        <w:smallCaps/>
        <w:color w:val="808080"/>
        <w:sz w:val="16"/>
        <w:szCs w:val="16"/>
      </w:rPr>
      <w:tab/>
    </w:r>
    <w:r>
      <w:rPr>
        <w:rFonts w:ascii="Calibri" w:eastAsia="Calibri" w:hAnsi="Calibri" w:cs="Calibri"/>
        <w:smallCaps/>
        <w:color w:val="808080"/>
        <w:sz w:val="16"/>
        <w:szCs w:val="16"/>
      </w:rPr>
      <w:tab/>
    </w:r>
    <w:r>
      <w:rPr>
        <w:rFonts w:ascii="Calibri" w:eastAsia="Calibri" w:hAnsi="Calibri" w:cs="Calibri"/>
        <w:smallCaps/>
        <w:color w:val="808080"/>
        <w:sz w:val="16"/>
        <w:szCs w:val="16"/>
      </w:rPr>
      <w:tab/>
      <w:t xml:space="preserve">       </w:t>
    </w:r>
    <w:r>
      <w:rPr>
        <w:rFonts w:ascii="Calibri" w:eastAsia="Calibri" w:hAnsi="Calibri" w:cs="Calibri"/>
        <w:smallCaps/>
        <w:color w:val="808080"/>
        <w:sz w:val="8"/>
        <w:szCs w:val="8"/>
      </w:rPr>
      <w:t xml:space="preserve"> </w:t>
    </w:r>
    <w:r>
      <w:rPr>
        <w:rFonts w:ascii="Calibri" w:eastAsia="Calibri" w:hAnsi="Calibri" w:cs="Calibri"/>
        <w:smallCaps/>
        <w:color w:val="808080"/>
        <w:sz w:val="16"/>
        <w:szCs w:val="16"/>
      </w:rPr>
      <w:t xml:space="preserve"> </w:t>
    </w:r>
    <w:r>
      <w:rPr>
        <w:rFonts w:ascii="Calibri" w:eastAsia="Calibri" w:hAnsi="Calibri" w:cs="Calibri"/>
        <w:smallCaps/>
        <w:color w:val="000000"/>
        <w:sz w:val="16"/>
        <w:szCs w:val="16"/>
      </w:rPr>
      <w:fldChar w:fldCharType="begin"/>
    </w:r>
    <w:r>
      <w:rPr>
        <w:rFonts w:ascii="Calibri" w:eastAsia="Calibri" w:hAnsi="Calibri" w:cs="Calibri"/>
        <w:smallCaps/>
        <w:color w:val="000000"/>
        <w:sz w:val="16"/>
        <w:szCs w:val="16"/>
      </w:rPr>
      <w:instrText>PAGE</w:instrText>
    </w:r>
    <w:r>
      <w:rPr>
        <w:rFonts w:ascii="Calibri" w:eastAsia="Calibri" w:hAnsi="Calibri" w:cs="Calibri"/>
        <w:smallCaps/>
        <w:color w:val="000000"/>
        <w:sz w:val="16"/>
        <w:szCs w:val="16"/>
      </w:rPr>
      <w:fldChar w:fldCharType="separate"/>
    </w:r>
    <w:r w:rsidR="00C74953">
      <w:rPr>
        <w:rFonts w:ascii="Calibri" w:eastAsia="Calibri" w:hAnsi="Calibri" w:cs="Calibri"/>
        <w:smallCaps/>
        <w:noProof/>
        <w:color w:val="000000"/>
        <w:sz w:val="16"/>
        <w:szCs w:val="16"/>
      </w:rPr>
      <w:t>1</w:t>
    </w:r>
    <w:r>
      <w:rPr>
        <w:rFonts w:ascii="Calibri" w:eastAsia="Calibri" w:hAnsi="Calibri" w:cs="Calibri"/>
        <w:smallCaps/>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BCF81" w14:textId="77777777" w:rsidR="00474801" w:rsidRDefault="00474801">
    <w:pPr>
      <w:pBdr>
        <w:top w:val="nil"/>
        <w:left w:val="nil"/>
        <w:bottom w:val="nil"/>
        <w:right w:val="nil"/>
        <w:between w:val="nil"/>
      </w:pBdr>
      <w:tabs>
        <w:tab w:val="center" w:pos="4680"/>
        <w:tab w:val="right" w:pos="9360"/>
      </w:tabs>
      <w:spacing w:before="0"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7C4CFB" w14:textId="77777777" w:rsidR="00664813" w:rsidRDefault="00664813">
      <w:pPr>
        <w:spacing w:before="0" w:after="0" w:line="240" w:lineRule="auto"/>
      </w:pPr>
      <w:r>
        <w:separator/>
      </w:r>
    </w:p>
  </w:footnote>
  <w:footnote w:type="continuationSeparator" w:id="0">
    <w:p w14:paraId="26A0523C" w14:textId="77777777" w:rsidR="00664813" w:rsidRDefault="006648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9C242" w14:textId="77777777" w:rsidR="00474801" w:rsidRDefault="00474801">
    <w:pPr>
      <w:pBdr>
        <w:top w:val="nil"/>
        <w:left w:val="nil"/>
        <w:bottom w:val="nil"/>
        <w:right w:val="nil"/>
        <w:between w:val="nil"/>
      </w:pBdr>
      <w:tabs>
        <w:tab w:val="center" w:pos="4680"/>
        <w:tab w:val="right" w:pos="9360"/>
      </w:tabs>
      <w:spacing w:before="0"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7E15C" w14:textId="77777777" w:rsidR="00474801" w:rsidRDefault="00000000">
    <w:pPr>
      <w:keepLines/>
      <w:widowControl/>
      <w:pBdr>
        <w:top w:val="nil"/>
        <w:left w:val="nil"/>
        <w:bottom w:val="nil"/>
        <w:right w:val="nil"/>
        <w:between w:val="nil"/>
      </w:pBdr>
      <w:tabs>
        <w:tab w:val="center" w:pos="5040"/>
        <w:tab w:val="left" w:pos="8776"/>
      </w:tabs>
      <w:spacing w:before="0" w:line="240" w:lineRule="auto"/>
      <w:jc w:val="center"/>
      <w:rPr>
        <w:rFonts w:ascii="Calibri" w:eastAsia="Calibri" w:hAnsi="Calibri" w:cs="Calibri"/>
        <w:smallCaps/>
        <w:color w:val="000000"/>
        <w:sz w:val="20"/>
        <w:szCs w:val="20"/>
      </w:rPr>
    </w:pPr>
    <w:r>
      <w:rPr>
        <w:rFonts w:ascii="Calibri" w:eastAsia="Calibri" w:hAnsi="Calibri" w:cs="Calibri"/>
        <w:smallCaps/>
        <w:color w:val="2F5496"/>
        <w:sz w:val="28"/>
        <w:szCs w:val="28"/>
      </w:rPr>
      <w:t xml:space="preserve">C3 Teachers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801B01" w14:textId="77777777" w:rsidR="00474801" w:rsidRDefault="00474801">
    <w:pPr>
      <w:pBdr>
        <w:top w:val="nil"/>
        <w:left w:val="nil"/>
        <w:bottom w:val="nil"/>
        <w:right w:val="nil"/>
        <w:between w:val="nil"/>
      </w:pBdr>
      <w:tabs>
        <w:tab w:val="center" w:pos="4680"/>
        <w:tab w:val="right" w:pos="9360"/>
      </w:tabs>
      <w:spacing w:before="0"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F6212"/>
    <w:multiLevelType w:val="multilevel"/>
    <w:tmpl w:val="35683F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4B5E71"/>
    <w:multiLevelType w:val="multilevel"/>
    <w:tmpl w:val="A3F2085E"/>
    <w:lvl w:ilvl="0">
      <w:start w:val="1"/>
      <w:numFmt w:val="decimal"/>
      <w:lvlText w:val="%1."/>
      <w:lvlJc w:val="left"/>
      <w:pPr>
        <w:ind w:left="885" w:firstLine="336"/>
      </w:pPr>
      <w:rPr>
        <w:rFonts w:ascii="Arial" w:eastAsia="Arial" w:hAnsi="Arial" w:cs="Arial"/>
        <w:sz w:val="22"/>
        <w:szCs w:val="22"/>
      </w:rPr>
    </w:lvl>
    <w:lvl w:ilvl="1">
      <w:start w:val="12"/>
      <w:numFmt w:val="decimal"/>
      <w:lvlText w:val="%1-%2"/>
      <w:lvlJc w:val="left"/>
      <w:pPr>
        <w:ind w:left="885" w:firstLine="336"/>
      </w:pPr>
      <w:rPr>
        <w:rFonts w:ascii="Calibri" w:eastAsia="Calibri" w:hAnsi="Calibri" w:cs="Calibri"/>
        <w:color w:val="1F5493"/>
        <w:sz w:val="26"/>
        <w:szCs w:val="26"/>
      </w:rPr>
    </w:lvl>
    <w:lvl w:ilvl="2">
      <w:start w:val="1"/>
      <w:numFmt w:val="decimal"/>
      <w:lvlText w:val="%3."/>
      <w:lvlJc w:val="left"/>
      <w:pPr>
        <w:ind w:left="830" w:firstLine="478"/>
      </w:pPr>
      <w:rPr>
        <w:rFonts w:ascii="Calibri" w:eastAsia="Calibri" w:hAnsi="Calibri" w:cs="Calibri"/>
        <w:sz w:val="26"/>
        <w:szCs w:val="26"/>
      </w:rPr>
    </w:lvl>
    <w:lvl w:ilvl="3">
      <w:start w:val="1"/>
      <w:numFmt w:val="bullet"/>
      <w:lvlText w:val="•"/>
      <w:lvlJc w:val="left"/>
      <w:pPr>
        <w:ind w:left="3031" w:firstLine="2679"/>
      </w:pPr>
      <w:rPr>
        <w:rFonts w:ascii="Arial" w:eastAsia="Arial" w:hAnsi="Arial" w:cs="Arial"/>
      </w:rPr>
    </w:lvl>
    <w:lvl w:ilvl="4">
      <w:start w:val="1"/>
      <w:numFmt w:val="bullet"/>
      <w:lvlText w:val="•"/>
      <w:lvlJc w:val="left"/>
      <w:pPr>
        <w:ind w:left="4103" w:firstLine="3751"/>
      </w:pPr>
      <w:rPr>
        <w:rFonts w:ascii="Arial" w:eastAsia="Arial" w:hAnsi="Arial" w:cs="Arial"/>
      </w:rPr>
    </w:lvl>
    <w:lvl w:ilvl="5">
      <w:start w:val="1"/>
      <w:numFmt w:val="bullet"/>
      <w:lvlText w:val="•"/>
      <w:lvlJc w:val="left"/>
      <w:pPr>
        <w:ind w:left="5176" w:firstLine="4824"/>
      </w:pPr>
      <w:rPr>
        <w:rFonts w:ascii="Arial" w:eastAsia="Arial" w:hAnsi="Arial" w:cs="Arial"/>
      </w:rPr>
    </w:lvl>
    <w:lvl w:ilvl="6">
      <w:start w:val="1"/>
      <w:numFmt w:val="bullet"/>
      <w:lvlText w:val="•"/>
      <w:lvlJc w:val="left"/>
      <w:pPr>
        <w:ind w:left="6249" w:firstLine="5896"/>
      </w:pPr>
      <w:rPr>
        <w:rFonts w:ascii="Arial" w:eastAsia="Arial" w:hAnsi="Arial" w:cs="Arial"/>
      </w:rPr>
    </w:lvl>
    <w:lvl w:ilvl="7">
      <w:start w:val="1"/>
      <w:numFmt w:val="bullet"/>
      <w:lvlText w:val="•"/>
      <w:lvlJc w:val="left"/>
      <w:pPr>
        <w:ind w:left="7321" w:firstLine="6969"/>
      </w:pPr>
      <w:rPr>
        <w:rFonts w:ascii="Arial" w:eastAsia="Arial" w:hAnsi="Arial" w:cs="Arial"/>
      </w:rPr>
    </w:lvl>
    <w:lvl w:ilvl="8">
      <w:start w:val="1"/>
      <w:numFmt w:val="bullet"/>
      <w:lvlText w:val="•"/>
      <w:lvlJc w:val="left"/>
      <w:pPr>
        <w:ind w:left="8394" w:firstLine="8041"/>
      </w:pPr>
      <w:rPr>
        <w:rFonts w:ascii="Arial" w:eastAsia="Arial" w:hAnsi="Arial" w:cs="Arial"/>
      </w:rPr>
    </w:lvl>
  </w:abstractNum>
  <w:abstractNum w:abstractNumId="2" w15:restartNumberingAfterBreak="0">
    <w:nsid w:val="3FE879A9"/>
    <w:multiLevelType w:val="multilevel"/>
    <w:tmpl w:val="448AD4B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1474324696">
    <w:abstractNumId w:val="1"/>
  </w:num>
  <w:num w:numId="2" w16cid:durableId="794560392">
    <w:abstractNumId w:val="2"/>
  </w:num>
  <w:num w:numId="3" w16cid:durableId="1178437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801"/>
    <w:rsid w:val="00474801"/>
    <w:rsid w:val="00664813"/>
    <w:rsid w:val="00983995"/>
    <w:rsid w:val="00A22DD9"/>
    <w:rsid w:val="00C74953"/>
    <w:rsid w:val="00D16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E22A6"/>
  <w15:docId w15:val="{759353CC-F3AB-F646-A078-D3D076147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widowControl w:val="0"/>
        <w:spacing w:before="200" w:after="200"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120"/>
      <w:outlineLvl w:val="0"/>
    </w:pPr>
    <w:rPr>
      <w:rFonts w:ascii="Calibri" w:eastAsia="Calibri" w:hAnsi="Calibri" w:cs="Calibri"/>
      <w:b/>
      <w:bCs/>
      <w:color w:val="FFFFFF"/>
      <w:sz w:val="32"/>
      <w:szCs w:val="32"/>
    </w:rPr>
  </w:style>
  <w:style w:type="paragraph" w:styleId="Heading2">
    <w:name w:val="heading 2"/>
    <w:basedOn w:val="Normal"/>
    <w:next w:val="Normal"/>
    <w:uiPriority w:val="9"/>
    <w:unhideWhenUsed/>
    <w:qFormat/>
    <w:pPr>
      <w:keepNext/>
      <w:keepLines/>
      <w:spacing w:before="600" w:after="180"/>
      <w:outlineLvl w:val="1"/>
    </w:pPr>
    <w:rPr>
      <w:rFonts w:ascii="Calibri" w:eastAsia="Calibri" w:hAnsi="Calibri" w:cs="Calibri"/>
      <w:b/>
      <w:bCs/>
      <w:color w:val="205595"/>
      <w:sz w:val="28"/>
      <w:szCs w:val="28"/>
    </w:rPr>
  </w:style>
  <w:style w:type="paragraph" w:styleId="Heading3">
    <w:name w:val="heading 3"/>
    <w:basedOn w:val="Normal"/>
    <w:next w:val="Normal"/>
    <w:uiPriority w:val="9"/>
    <w:semiHidden/>
    <w:unhideWhenUsed/>
    <w:qFormat/>
    <w:pPr>
      <w:keepNext/>
      <w:keepLines/>
      <w:spacing w:before="240" w:after="60" w:line="240" w:lineRule="auto"/>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keepLines/>
      <w:spacing w:before="240" w:after="60" w:line="240" w:lineRule="auto"/>
      <w:outlineLvl w:val="3"/>
    </w:pPr>
    <w:rPr>
      <w:rFonts w:ascii="Arial" w:eastAsia="Arial" w:hAnsi="Arial" w:cs="Arial"/>
      <w:b/>
      <w:bCs/>
      <w:sz w:val="28"/>
      <w:szCs w:val="28"/>
    </w:rPr>
  </w:style>
  <w:style w:type="paragraph" w:styleId="Heading5">
    <w:name w:val="heading 5"/>
    <w:basedOn w:val="Normal"/>
    <w:next w:val="Normal"/>
    <w:uiPriority w:val="9"/>
    <w:semiHidden/>
    <w:unhideWhenUsed/>
    <w:qFormat/>
    <w:pPr>
      <w:keepNext/>
      <w:keepLines/>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uiPriority w:val="9"/>
    <w:semiHidden/>
    <w:unhideWhenUsed/>
    <w:qFormat/>
    <w:pPr>
      <w:keepNext/>
      <w:keepLines/>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line="240" w:lineRule="auto"/>
    </w:pPr>
    <w:rPr>
      <w:rFonts w:ascii="Times New Roman" w:eastAsia="Times New Roman" w:hAnsi="Times New Roman" w:cs="Times New Roman"/>
      <w:b/>
      <w:bCs/>
      <w:sz w:val="72"/>
      <w:szCs w:val="7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line="240" w:lineRule="auto"/>
    </w:pPr>
    <w:rPr>
      <w:rFonts w:ascii="Georgia" w:eastAsia="Georgia" w:hAnsi="Georgia" w:cs="Georgia"/>
      <w:i/>
      <w:iCs/>
      <w:color w:val="666666"/>
      <w:sz w:val="48"/>
      <w:szCs w:val="48"/>
    </w:r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C74953"/>
    <w:rPr>
      <w:color w:val="0000FF" w:themeColor="hyperlink"/>
      <w:u w:val="single"/>
    </w:rPr>
  </w:style>
  <w:style w:type="character" w:styleId="UnresolvedMention">
    <w:name w:val="Unresolved Mention"/>
    <w:basedOn w:val="DefaultParagraphFont"/>
    <w:uiPriority w:val="99"/>
    <w:semiHidden/>
    <w:unhideWhenUsed/>
    <w:rsid w:val="00C749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ar.gov/News/Feature-Stories/Story/article/1791664/rosie-the-riveter-inspired-women-to-serve-in-world-war-ii/"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gRBu9StCLpf3K67WPDshStBQKQ==">CgMxLjAyCWlkLmdqZGd4czIJaC4zMGowemxsOAByITFDdXpzWVBDdURVOE1BdzJLTGVkbFYzTWFZT0ZBM3dFdg==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1438</Words>
  <Characters>8197</Characters>
  <Application>Microsoft Office Word</Application>
  <DocSecurity>0</DocSecurity>
  <Lines>68</Lines>
  <Paragraphs>19</Paragraphs>
  <ScaleCrop>false</ScaleCrop>
  <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Kelly Lee</cp:lastModifiedBy>
  <cp:revision>4</cp:revision>
  <dcterms:created xsi:type="dcterms:W3CDTF">2026-08-15T23:24:00Z</dcterms:created>
  <dcterms:modified xsi:type="dcterms:W3CDTF">2026-08-15T23:32:00Z</dcterms:modified>
</cp:coreProperties>
</file>